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A038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B36D235">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5C8B301">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554B1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74E0214">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51F44490">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95AC01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E45E198">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43</w:t>
            </w:r>
            <w:r>
              <w:fldChar w:fldCharType="end"/>
            </w:r>
            <w:bookmarkEnd w:id="3"/>
          </w:p>
        </w:tc>
      </w:tr>
    </w:tbl>
    <w:p w14:paraId="132CA86B">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4D83F6B">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43/T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0D106A2">
      <w:pPr>
        <w:pStyle w:val="196"/>
        <w:rPr>
          <w:rFonts w:hAnsi="黑体"/>
        </w:rPr>
      </w:pPr>
      <w:r>
        <w:rPr>
          <w:rFonts w:hAnsi="黑体"/>
        </w:rPr>
        <w:t xml:space="preserve"> </w:t>
      </w:r>
    </w:p>
    <w:p w14:paraId="2C283581">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BEC56BB">
      <w:pPr>
        <w:pStyle w:val="50"/>
        <w:framePr w:w="9639" w:h="6976" w:hRule="exact" w:hSpace="0" w:vSpace="0" w:hAnchor="page" w:y="6408"/>
        <w:jc w:val="center"/>
        <w:rPr>
          <w:rFonts w:ascii="黑体" w:hAnsi="黑体" w:eastAsia="黑体"/>
          <w:b w:val="0"/>
          <w:bCs w:val="0"/>
          <w:w w:val="100"/>
        </w:rPr>
      </w:pPr>
    </w:p>
    <w:p w14:paraId="42F2764F">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水流</w:t>
      </w:r>
      <w:r>
        <w:t>确权登记技术规范</w:t>
      </w:r>
      <w:r>
        <w:fldChar w:fldCharType="end"/>
      </w:r>
      <w:bookmarkEnd w:id="8"/>
    </w:p>
    <w:p w14:paraId="7F4127B8">
      <w:pPr>
        <w:framePr w:w="9639" w:h="6974" w:hRule="exact" w:wrap="around" w:vAnchor="page" w:hAnchor="page" w:x="1419" w:y="6408" w:anchorLock="1"/>
        <w:ind w:left="-1418"/>
      </w:pPr>
    </w:p>
    <w:p w14:paraId="3F519C41">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Technical specification for registration of </w:t>
      </w:r>
      <w:r>
        <w:rPr>
          <w:rFonts w:hint="eastAsia" w:ascii="黑体" w:hAnsi="黑体" w:eastAsia="黑体"/>
          <w:szCs w:val="28"/>
        </w:rPr>
        <w:t>water</w:t>
      </w:r>
      <w:r>
        <w:rPr>
          <w:rFonts w:ascii="黑体" w:hAnsi="黑体" w:eastAsia="黑体"/>
          <w:szCs w:val="28"/>
        </w:rPr>
        <w:t xml:space="preserve"> flow property rights</w:t>
      </w:r>
      <w:r>
        <w:rPr>
          <w:rFonts w:ascii="黑体" w:hAnsi="黑体" w:eastAsia="黑体"/>
          <w:szCs w:val="28"/>
        </w:rPr>
        <w:fldChar w:fldCharType="end"/>
      </w:r>
      <w:bookmarkEnd w:id="9"/>
    </w:p>
    <w:p w14:paraId="4AC972B5">
      <w:pPr>
        <w:framePr w:w="9639" w:h="6974" w:hRule="exact" w:wrap="around" w:vAnchor="page" w:hAnchor="page" w:x="1419" w:y="6408" w:anchorLock="1"/>
        <w:spacing w:line="760" w:lineRule="exact"/>
        <w:ind w:left="-1418"/>
      </w:pPr>
    </w:p>
    <w:p w14:paraId="409A6850">
      <w:pPr>
        <w:pStyle w:val="125"/>
        <w:framePr w:w="9639" w:h="6974" w:hRule="exact" w:wrap="around" w:vAnchor="page" w:hAnchor="page" w:x="1419" w:y="6408" w:anchorLock="1"/>
        <w:textAlignment w:val="bottom"/>
        <w:rPr>
          <w:rFonts w:eastAsia="黑体"/>
          <w:szCs w:val="28"/>
        </w:rPr>
      </w:pPr>
    </w:p>
    <w:p w14:paraId="4A14A571">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0D010935">
      <w:pPr>
        <w:pStyle w:val="125"/>
        <w:framePr w:w="9639" w:h="6974" w:hRule="exact" w:wrap="around" w:vAnchor="page" w:hAnchor="page" w:x="1419" w:y="6408" w:anchorLock="1"/>
        <w:spacing w:before="180" w:line="240" w:lineRule="atLeast"/>
        <w:textAlignment w:val="bottom"/>
        <w:rPr>
          <w:sz w:val="21"/>
          <w:szCs w:val="28"/>
        </w:rPr>
      </w:pPr>
      <w:r>
        <w:rPr>
          <w:sz w:val="21"/>
          <w:szCs w:val="28"/>
        </w:rPr>
        <w:t xml:space="preserve"> </w:t>
      </w:r>
    </w:p>
    <w:p w14:paraId="42FE65F2">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t xml:space="preserve"> </w:t>
      </w:r>
    </w:p>
    <w:p w14:paraId="29640873">
      <w:pPr>
        <w:pStyle w:val="193"/>
        <w:framePr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14:paraId="266F0F59">
      <w:pPr>
        <w:pStyle w:val="194"/>
        <w:framePr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14:paraId="6559F3DF">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17"/>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1B2BFA4">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24BB353">
      <w:pPr>
        <w:pStyle w:val="91"/>
        <w:spacing w:after="468"/>
      </w:pPr>
      <w:bookmarkStart w:id="18" w:name="BookMark1"/>
      <w:bookmarkStart w:id="19" w:name="_Toc136415225"/>
      <w:r>
        <w:rPr>
          <w:rFonts w:hint="eastAsia"/>
          <w:spacing w:val="320"/>
        </w:rPr>
        <w:t>目</w:t>
      </w:r>
      <w:r>
        <w:rPr>
          <w:rFonts w:hint="eastAsia"/>
        </w:rPr>
        <w:t>次</w:t>
      </w:r>
    </w:p>
    <w:p w14:paraId="00C9AB58">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"_Toc145916762" </w:instrText>
      </w:r>
      <w:r>
        <w:fldChar w:fldCharType="separate"/>
      </w:r>
      <w:r>
        <w:rPr>
          <w:rStyle w:val="32"/>
          <w:spacing w:val="320"/>
        </w:rPr>
        <w:t>前</w:t>
      </w:r>
      <w:r>
        <w:rPr>
          <w:rStyle w:val="32"/>
        </w:rPr>
        <w:t>言</w:t>
      </w:r>
      <w:r>
        <w:tab/>
      </w:r>
      <w:r>
        <w:fldChar w:fldCharType="begin"/>
      </w:r>
      <w:r>
        <w:instrText xml:space="preserve"> PAGEREF _Toc145916762 \h </w:instrText>
      </w:r>
      <w:r>
        <w:fldChar w:fldCharType="separate"/>
      </w:r>
      <w:r>
        <w:t>II</w:t>
      </w:r>
      <w:r>
        <w:fldChar w:fldCharType="end"/>
      </w:r>
      <w:r>
        <w:fldChar w:fldCharType="end"/>
      </w:r>
    </w:p>
    <w:p w14:paraId="21F5655C">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"_Toc145916763" </w:instrText>
      </w:r>
      <w:r>
        <w:fldChar w:fldCharType="separate"/>
      </w:r>
      <w:r>
        <w:rPr>
          <w:rStyle w:val="32"/>
        </w:rPr>
        <w:t>1 范围</w:t>
      </w:r>
      <w:r>
        <w:tab/>
      </w:r>
      <w:r>
        <w:fldChar w:fldCharType="begin"/>
      </w:r>
      <w:r>
        <w:instrText xml:space="preserve"> PAGEREF _Toc145916763 \h </w:instrText>
      </w:r>
      <w:r>
        <w:fldChar w:fldCharType="separate"/>
      </w:r>
      <w:r>
        <w:t>1</w:t>
      </w:r>
      <w:r>
        <w:fldChar w:fldCharType="end"/>
      </w:r>
      <w:r>
        <w:fldChar w:fldCharType="end"/>
      </w:r>
    </w:p>
    <w:p w14:paraId="78690690">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"_Toc145916764" </w:instrText>
      </w:r>
      <w:r>
        <w:fldChar w:fldCharType="separate"/>
      </w:r>
      <w:r>
        <w:rPr>
          <w:rStyle w:val="32"/>
        </w:rPr>
        <w:t>2 规范性引用文件</w:t>
      </w:r>
      <w:r>
        <w:tab/>
      </w:r>
      <w:r>
        <w:fldChar w:fldCharType="begin"/>
      </w:r>
      <w:r>
        <w:instrText xml:space="preserve"> PAGEREF _Toc145916764 \h </w:instrText>
      </w:r>
      <w:r>
        <w:fldChar w:fldCharType="separate"/>
      </w:r>
      <w:r>
        <w:t>1</w:t>
      </w:r>
      <w:r>
        <w:fldChar w:fldCharType="end"/>
      </w:r>
      <w:r>
        <w:fldChar w:fldCharType="end"/>
      </w:r>
    </w:p>
    <w:p w14:paraId="68AA0528">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"_Toc145916765" </w:instrText>
      </w:r>
      <w:r>
        <w:fldChar w:fldCharType="separate"/>
      </w:r>
      <w:r>
        <w:rPr>
          <w:rStyle w:val="32"/>
        </w:rPr>
        <w:t>3 术语和定义</w:t>
      </w:r>
      <w:r>
        <w:tab/>
      </w:r>
      <w:r>
        <w:fldChar w:fldCharType="begin"/>
      </w:r>
      <w:r>
        <w:instrText xml:space="preserve"> PAGEREF _Toc145916765 \h </w:instrText>
      </w:r>
      <w:r>
        <w:fldChar w:fldCharType="separate"/>
      </w:r>
      <w:r>
        <w:t>1</w:t>
      </w:r>
      <w:r>
        <w:fldChar w:fldCharType="end"/>
      </w:r>
      <w:r>
        <w:fldChar w:fldCharType="end"/>
      </w:r>
    </w:p>
    <w:p w14:paraId="0743AF20">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"_Toc145916766" </w:instrText>
      </w:r>
      <w:r>
        <w:fldChar w:fldCharType="separate"/>
      </w:r>
      <w:r>
        <w:rPr>
          <w:rStyle w:val="32"/>
        </w:rPr>
        <w:t>4 数学基础</w:t>
      </w:r>
      <w:r>
        <w:tab/>
      </w:r>
      <w:r>
        <w:fldChar w:fldCharType="begin"/>
      </w:r>
      <w:r>
        <w:instrText xml:space="preserve"> PAGEREF _Toc145916766 \h </w:instrText>
      </w:r>
      <w:r>
        <w:fldChar w:fldCharType="separate"/>
      </w:r>
      <w:r>
        <w:t>1</w:t>
      </w:r>
      <w:r>
        <w:fldChar w:fldCharType="end"/>
      </w:r>
      <w:r>
        <w:fldChar w:fldCharType="end"/>
      </w:r>
    </w:p>
    <w:p w14:paraId="40411394">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"_Toc145916767" </w:instrText>
      </w:r>
      <w:r>
        <w:fldChar w:fldCharType="separate"/>
      </w:r>
      <w:r>
        <w:rPr>
          <w:rStyle w:val="32"/>
        </w:rPr>
        <w:t>5 登记程序</w:t>
      </w:r>
      <w:r>
        <w:tab/>
      </w:r>
      <w:r>
        <w:fldChar w:fldCharType="begin"/>
      </w:r>
      <w:r>
        <w:instrText xml:space="preserve"> PAGEREF _Toc145916767 \h </w:instrText>
      </w:r>
      <w:r>
        <w:fldChar w:fldCharType="separate"/>
      </w:r>
      <w:r>
        <w:t>2</w:t>
      </w:r>
      <w:r>
        <w:fldChar w:fldCharType="end"/>
      </w:r>
      <w:r>
        <w:fldChar w:fldCharType="end"/>
      </w:r>
    </w:p>
    <w:p w14:paraId="024549D3">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"_Toc145916768" </w:instrText>
      </w:r>
      <w:r>
        <w:fldChar w:fldCharType="separate"/>
      </w:r>
      <w:r>
        <w:rPr>
          <w:rStyle w:val="32"/>
        </w:rPr>
        <w:t>6 通告</w:t>
      </w:r>
      <w:r>
        <w:tab/>
      </w:r>
      <w:r>
        <w:fldChar w:fldCharType="begin"/>
      </w:r>
      <w:r>
        <w:instrText xml:space="preserve"> PAGEREF _Toc145916768 \h </w:instrText>
      </w:r>
      <w:r>
        <w:fldChar w:fldCharType="separate"/>
      </w:r>
      <w:r>
        <w:t>2</w:t>
      </w:r>
      <w:r>
        <w:fldChar w:fldCharType="end"/>
      </w:r>
      <w:r>
        <w:fldChar w:fldCharType="end"/>
      </w:r>
    </w:p>
    <w:p w14:paraId="75CCAD69">
      <w:pPr>
        <w:pStyle w:val="24"/>
        <w:rPr>
          <w:rFonts w:asciiTheme="minorHAnsi" w:hAnsiTheme="minorHAnsi" w:eastAsiaTheme="minorEastAsia" w:cstheme="minorBidi"/>
          <w:szCs w:val="22"/>
          <w14:ligatures w14:val="standardContextual"/>
        </w:rPr>
      </w:pPr>
      <w:r>
        <w:fldChar w:fldCharType="begin"/>
      </w:r>
      <w:r>
        <w:instrText xml:space="preserve"> HYPERLINK \l "_Toc145916769" </w:instrText>
      </w:r>
      <w:r>
        <w:fldChar w:fldCharType="separate"/>
      </w:r>
      <w:r>
        <w:rPr>
          <w:rStyle w:val="32"/>
          <w14:scene3d>
            <w14:lightRig w14:rig="threePt" w14:dir="t">
              <w14:rot w14:lat="0" w14:lon="0" w14:rev="0"/>
            </w14:lightRig>
          </w14:scene3d>
        </w:rPr>
        <w:t>6.1</w:t>
      </w:r>
      <w:r>
        <w:rPr>
          <w:rStyle w:val="32"/>
        </w:rPr>
        <w:t xml:space="preserve"> 资料收集及处理</w:t>
      </w:r>
      <w:r>
        <w:tab/>
      </w:r>
      <w:r>
        <w:fldChar w:fldCharType="begin"/>
      </w:r>
      <w:r>
        <w:instrText xml:space="preserve"> PAGEREF _Toc145916769 \h </w:instrText>
      </w:r>
      <w:r>
        <w:fldChar w:fldCharType="separate"/>
      </w:r>
      <w:r>
        <w:t>2</w:t>
      </w:r>
      <w:r>
        <w:fldChar w:fldCharType="end"/>
      </w:r>
      <w:r>
        <w:fldChar w:fldCharType="end"/>
      </w:r>
    </w:p>
    <w:p w14:paraId="426FC0C6">
      <w:pPr>
        <w:pStyle w:val="24"/>
        <w:rPr>
          <w:rFonts w:asciiTheme="minorHAnsi" w:hAnsiTheme="minorHAnsi" w:eastAsiaTheme="minorEastAsia" w:cstheme="minorBidi"/>
          <w:szCs w:val="22"/>
          <w14:ligatures w14:val="standardContextual"/>
        </w:rPr>
      </w:pPr>
      <w:r>
        <w:fldChar w:fldCharType="begin"/>
      </w:r>
      <w:r>
        <w:instrText xml:space="preserve"> HYPERLINK \l "_Toc145916770" </w:instrText>
      </w:r>
      <w:r>
        <w:fldChar w:fldCharType="separate"/>
      </w:r>
      <w:r>
        <w:rPr>
          <w:rStyle w:val="32"/>
          <w14:scene3d>
            <w14:lightRig w14:rig="threePt" w14:dir="t">
              <w14:rot w14:lat="0" w14:lon="0" w14:rev="0"/>
            </w14:lightRig>
          </w14:scene3d>
        </w:rPr>
        <w:t>6.2</w:t>
      </w:r>
      <w:r>
        <w:rPr>
          <w:rStyle w:val="32"/>
        </w:rPr>
        <w:t xml:space="preserve"> 预划登记单元</w:t>
      </w:r>
      <w:r>
        <w:tab/>
      </w:r>
      <w:r>
        <w:fldChar w:fldCharType="begin"/>
      </w:r>
      <w:r>
        <w:instrText xml:space="preserve"> PAGEREF _Toc145916770 \h </w:instrText>
      </w:r>
      <w:r>
        <w:fldChar w:fldCharType="separate"/>
      </w:r>
      <w:r>
        <w:t>3</w:t>
      </w:r>
      <w:r>
        <w:fldChar w:fldCharType="end"/>
      </w:r>
      <w:r>
        <w:fldChar w:fldCharType="end"/>
      </w:r>
    </w:p>
    <w:p w14:paraId="44B531BE">
      <w:pPr>
        <w:pStyle w:val="24"/>
        <w:rPr>
          <w:rFonts w:asciiTheme="minorHAnsi" w:hAnsiTheme="minorHAnsi" w:eastAsiaTheme="minorEastAsia" w:cstheme="minorBidi"/>
          <w:szCs w:val="22"/>
          <w14:ligatures w14:val="standardContextual"/>
        </w:rPr>
      </w:pPr>
      <w:r>
        <w:fldChar w:fldCharType="begin"/>
      </w:r>
      <w:r>
        <w:instrText xml:space="preserve"> HYPERLINK \l "_Toc145916771" </w:instrText>
      </w:r>
      <w:r>
        <w:fldChar w:fldCharType="separate"/>
      </w:r>
      <w:r>
        <w:rPr>
          <w:rStyle w:val="32"/>
          <w14:scene3d>
            <w14:lightRig w14:rig="threePt" w14:dir="t">
              <w14:rot w14:lat="0" w14:lon="0" w14:rev="0"/>
            </w14:lightRig>
          </w14:scene3d>
        </w:rPr>
        <w:t>6.3</w:t>
      </w:r>
      <w:r>
        <w:rPr>
          <w:rStyle w:val="32"/>
        </w:rPr>
        <w:t xml:space="preserve"> 通告</w:t>
      </w:r>
      <w:r>
        <w:tab/>
      </w:r>
      <w:r>
        <w:fldChar w:fldCharType="begin"/>
      </w:r>
      <w:r>
        <w:instrText xml:space="preserve"> PAGEREF _Toc145916771 \h </w:instrText>
      </w:r>
      <w:r>
        <w:fldChar w:fldCharType="separate"/>
      </w:r>
      <w:r>
        <w:t>8</w:t>
      </w:r>
      <w:r>
        <w:fldChar w:fldCharType="end"/>
      </w:r>
      <w:r>
        <w:fldChar w:fldCharType="end"/>
      </w:r>
    </w:p>
    <w:p w14:paraId="4B89EE19">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"_Toc145916772" </w:instrText>
      </w:r>
      <w:r>
        <w:fldChar w:fldCharType="separate"/>
      </w:r>
      <w:r>
        <w:rPr>
          <w:rStyle w:val="32"/>
        </w:rPr>
        <w:t>7 地籍调查</w:t>
      </w:r>
      <w:r>
        <w:tab/>
      </w:r>
      <w:r>
        <w:fldChar w:fldCharType="begin"/>
      </w:r>
      <w:r>
        <w:instrText xml:space="preserve"> PAGEREF _Toc145916772 \h </w:instrText>
      </w:r>
      <w:r>
        <w:fldChar w:fldCharType="separate"/>
      </w:r>
      <w:r>
        <w:t>8</w:t>
      </w:r>
      <w:r>
        <w:fldChar w:fldCharType="end"/>
      </w:r>
      <w:r>
        <w:fldChar w:fldCharType="end"/>
      </w:r>
    </w:p>
    <w:p w14:paraId="0609A38B">
      <w:pPr>
        <w:pStyle w:val="24"/>
        <w:rPr>
          <w:rFonts w:asciiTheme="minorHAnsi" w:hAnsiTheme="minorHAnsi" w:eastAsiaTheme="minorEastAsia" w:cstheme="minorBidi"/>
          <w:szCs w:val="22"/>
          <w14:ligatures w14:val="standardContextual"/>
        </w:rPr>
      </w:pPr>
      <w:r>
        <w:fldChar w:fldCharType="begin"/>
      </w:r>
      <w:r>
        <w:instrText xml:space="preserve"> HYPERLINK \l "_Toc145916773" </w:instrText>
      </w:r>
      <w:r>
        <w:fldChar w:fldCharType="separate"/>
      </w:r>
      <w:r>
        <w:rPr>
          <w:rStyle w:val="32"/>
          <w14:scene3d>
            <w14:lightRig w14:rig="threePt" w14:dir="t">
              <w14:rot w14:lat="0" w14:lon="0" w14:rev="0"/>
            </w14:lightRig>
          </w14:scene3d>
        </w:rPr>
        <w:t>7.1</w:t>
      </w:r>
      <w:r>
        <w:rPr>
          <w:rStyle w:val="32"/>
        </w:rPr>
        <w:t xml:space="preserve"> 权属信息提取</w:t>
      </w:r>
      <w:r>
        <w:tab/>
      </w:r>
      <w:r>
        <w:fldChar w:fldCharType="begin"/>
      </w:r>
      <w:r>
        <w:instrText xml:space="preserve"> PAGEREF _Toc145916773 \h </w:instrText>
      </w:r>
      <w:r>
        <w:fldChar w:fldCharType="separate"/>
      </w:r>
      <w:r>
        <w:t>8</w:t>
      </w:r>
      <w:r>
        <w:fldChar w:fldCharType="end"/>
      </w:r>
      <w:r>
        <w:fldChar w:fldCharType="end"/>
      </w:r>
    </w:p>
    <w:p w14:paraId="6F2A7919">
      <w:pPr>
        <w:pStyle w:val="24"/>
        <w:rPr>
          <w:rFonts w:asciiTheme="minorHAnsi" w:hAnsiTheme="minorHAnsi" w:eastAsiaTheme="minorEastAsia" w:cstheme="minorBidi"/>
          <w:szCs w:val="22"/>
          <w14:ligatures w14:val="standardContextual"/>
        </w:rPr>
      </w:pPr>
      <w:r>
        <w:fldChar w:fldCharType="begin"/>
      </w:r>
      <w:r>
        <w:instrText xml:space="preserve"> HYPERLINK \l "_Toc145916774" </w:instrText>
      </w:r>
      <w:r>
        <w:fldChar w:fldCharType="separate"/>
      </w:r>
      <w:r>
        <w:rPr>
          <w:rStyle w:val="32"/>
          <w14:scene3d>
            <w14:lightRig w14:rig="threePt" w14:dir="t">
              <w14:rot w14:lat="0" w14:lon="0" w14:rev="0"/>
            </w14:lightRig>
          </w14:scene3d>
        </w:rPr>
        <w:t>7.2</w:t>
      </w:r>
      <w:r>
        <w:rPr>
          <w:rStyle w:val="32"/>
        </w:rPr>
        <w:t xml:space="preserve"> 关联信息提取</w:t>
      </w:r>
      <w:r>
        <w:tab/>
      </w:r>
      <w:r>
        <w:fldChar w:fldCharType="begin"/>
      </w:r>
      <w:r>
        <w:instrText xml:space="preserve"> PAGEREF _Toc145916774 \h </w:instrText>
      </w:r>
      <w:r>
        <w:fldChar w:fldCharType="separate"/>
      </w:r>
      <w:r>
        <w:t>9</w:t>
      </w:r>
      <w:r>
        <w:fldChar w:fldCharType="end"/>
      </w:r>
      <w:r>
        <w:fldChar w:fldCharType="end"/>
      </w:r>
    </w:p>
    <w:p w14:paraId="36B55A1E">
      <w:pPr>
        <w:pStyle w:val="24"/>
        <w:rPr>
          <w:rFonts w:asciiTheme="minorHAnsi" w:hAnsiTheme="minorHAnsi" w:eastAsiaTheme="minorEastAsia" w:cstheme="minorBidi"/>
          <w:szCs w:val="22"/>
          <w14:ligatures w14:val="standardContextual"/>
        </w:rPr>
      </w:pPr>
      <w:r>
        <w:fldChar w:fldCharType="begin"/>
      </w:r>
      <w:r>
        <w:instrText xml:space="preserve"> HYPERLINK \l "_Toc145916775" </w:instrText>
      </w:r>
      <w:r>
        <w:fldChar w:fldCharType="separate"/>
      </w:r>
      <w:r>
        <w:rPr>
          <w:rStyle w:val="32"/>
          <w14:scene3d>
            <w14:lightRig w14:rig="threePt" w14:dir="t">
              <w14:rot w14:lat="0" w14:lon="0" w14:rev="0"/>
            </w14:lightRig>
          </w14:scene3d>
        </w:rPr>
        <w:t>7.3</w:t>
      </w:r>
      <w:r>
        <w:rPr>
          <w:rStyle w:val="32"/>
        </w:rPr>
        <w:t xml:space="preserve"> 信息内业核实</w:t>
      </w:r>
      <w:r>
        <w:tab/>
      </w:r>
      <w:r>
        <w:fldChar w:fldCharType="begin"/>
      </w:r>
      <w:r>
        <w:instrText xml:space="preserve"> PAGEREF _Toc145916775 \h </w:instrText>
      </w:r>
      <w:r>
        <w:fldChar w:fldCharType="separate"/>
      </w:r>
      <w:r>
        <w:t>9</w:t>
      </w:r>
      <w:r>
        <w:fldChar w:fldCharType="end"/>
      </w:r>
      <w:r>
        <w:fldChar w:fldCharType="end"/>
      </w:r>
    </w:p>
    <w:p w14:paraId="7FFE03FF">
      <w:pPr>
        <w:pStyle w:val="24"/>
        <w:rPr>
          <w:rFonts w:asciiTheme="minorHAnsi" w:hAnsiTheme="minorHAnsi" w:eastAsiaTheme="minorEastAsia" w:cstheme="minorBidi"/>
          <w:szCs w:val="22"/>
          <w14:ligatures w14:val="standardContextual"/>
        </w:rPr>
      </w:pPr>
      <w:r>
        <w:fldChar w:fldCharType="begin"/>
      </w:r>
      <w:r>
        <w:instrText xml:space="preserve"> HYPERLINK \l "_Toc145916776" </w:instrText>
      </w:r>
      <w:r>
        <w:fldChar w:fldCharType="separate"/>
      </w:r>
      <w:r>
        <w:rPr>
          <w:rStyle w:val="32"/>
          <w14:scene3d>
            <w14:lightRig w14:rig="threePt" w14:dir="t">
              <w14:rot w14:lat="0" w14:lon="0" w14:rev="0"/>
            </w14:lightRig>
          </w14:scene3d>
        </w:rPr>
        <w:t>7.4</w:t>
      </w:r>
      <w:r>
        <w:rPr>
          <w:rStyle w:val="32"/>
        </w:rPr>
        <w:t xml:space="preserve"> 外业补充调查</w:t>
      </w:r>
      <w:r>
        <w:tab/>
      </w:r>
      <w:r>
        <w:fldChar w:fldCharType="begin"/>
      </w:r>
      <w:r>
        <w:instrText xml:space="preserve"> PAGEREF _Toc145916776 \h </w:instrText>
      </w:r>
      <w:r>
        <w:fldChar w:fldCharType="separate"/>
      </w:r>
      <w:r>
        <w:t>12</w:t>
      </w:r>
      <w:r>
        <w:fldChar w:fldCharType="end"/>
      </w:r>
      <w:r>
        <w:fldChar w:fldCharType="end"/>
      </w:r>
    </w:p>
    <w:p w14:paraId="6CC577FA">
      <w:pPr>
        <w:pStyle w:val="24"/>
        <w:rPr>
          <w:rFonts w:asciiTheme="minorHAnsi" w:hAnsiTheme="minorHAnsi" w:eastAsiaTheme="minorEastAsia" w:cstheme="minorBidi"/>
          <w:szCs w:val="22"/>
          <w14:ligatures w14:val="standardContextual"/>
        </w:rPr>
      </w:pPr>
      <w:r>
        <w:fldChar w:fldCharType="begin"/>
      </w:r>
      <w:r>
        <w:instrText xml:space="preserve"> HYPERLINK \l "_Toc145916777" </w:instrText>
      </w:r>
      <w:r>
        <w:fldChar w:fldCharType="separate"/>
      </w:r>
      <w:r>
        <w:rPr>
          <w:rStyle w:val="32"/>
          <w14:scene3d>
            <w14:lightRig w14:rig="threePt" w14:dir="t">
              <w14:rot w14:lat="0" w14:lon="0" w14:rev="0"/>
            </w14:lightRig>
          </w14:scene3d>
        </w:rPr>
        <w:t>7.5</w:t>
      </w:r>
      <w:r>
        <w:rPr>
          <w:rStyle w:val="32"/>
        </w:rPr>
        <w:t xml:space="preserve"> 调查成果确认</w:t>
      </w:r>
      <w:r>
        <w:tab/>
      </w:r>
      <w:r>
        <w:fldChar w:fldCharType="begin"/>
      </w:r>
      <w:r>
        <w:instrText xml:space="preserve"> PAGEREF _Toc145916777 \h </w:instrText>
      </w:r>
      <w:r>
        <w:fldChar w:fldCharType="separate"/>
      </w:r>
      <w:r>
        <w:t>13</w:t>
      </w:r>
      <w:r>
        <w:fldChar w:fldCharType="end"/>
      </w:r>
      <w:r>
        <w:fldChar w:fldCharType="end"/>
      </w:r>
    </w:p>
    <w:p w14:paraId="5D4E40E1">
      <w:pPr>
        <w:pStyle w:val="24"/>
        <w:rPr>
          <w:rFonts w:asciiTheme="minorHAnsi" w:hAnsiTheme="minorHAnsi" w:eastAsiaTheme="minorEastAsia" w:cstheme="minorBidi"/>
          <w:szCs w:val="22"/>
          <w14:ligatures w14:val="standardContextual"/>
        </w:rPr>
      </w:pPr>
      <w:r>
        <w:fldChar w:fldCharType="begin"/>
      </w:r>
      <w:r>
        <w:instrText xml:space="preserve"> HYPERLINK \l "_Toc145916778" </w:instrText>
      </w:r>
      <w:r>
        <w:fldChar w:fldCharType="separate"/>
      </w:r>
      <w:r>
        <w:rPr>
          <w:rStyle w:val="32"/>
          <w14:scene3d>
            <w14:lightRig w14:rig="threePt" w14:dir="t">
              <w14:rot w14:lat="0" w14:lon="0" w14:rev="0"/>
            </w14:lightRig>
          </w14:scene3d>
        </w:rPr>
        <w:t>7.6</w:t>
      </w:r>
      <w:r>
        <w:rPr>
          <w:rStyle w:val="32"/>
        </w:rPr>
        <w:t xml:space="preserve"> 划定登记单元</w:t>
      </w:r>
      <w:r>
        <w:tab/>
      </w:r>
      <w:r>
        <w:fldChar w:fldCharType="begin"/>
      </w:r>
      <w:r>
        <w:instrText xml:space="preserve"> PAGEREF _Toc145916778 \h </w:instrText>
      </w:r>
      <w:r>
        <w:fldChar w:fldCharType="separate"/>
      </w:r>
      <w:r>
        <w:t>13</w:t>
      </w:r>
      <w:r>
        <w:fldChar w:fldCharType="end"/>
      </w:r>
      <w:r>
        <w:fldChar w:fldCharType="end"/>
      </w:r>
    </w:p>
    <w:p w14:paraId="444AD86A">
      <w:pPr>
        <w:pStyle w:val="24"/>
        <w:rPr>
          <w:rFonts w:asciiTheme="minorHAnsi" w:hAnsiTheme="minorHAnsi" w:eastAsiaTheme="minorEastAsia" w:cstheme="minorBidi"/>
          <w:szCs w:val="22"/>
          <w14:ligatures w14:val="standardContextual"/>
        </w:rPr>
      </w:pPr>
      <w:r>
        <w:fldChar w:fldCharType="begin"/>
      </w:r>
      <w:r>
        <w:instrText xml:space="preserve"> HYPERLINK \l "_Toc145916779" </w:instrText>
      </w:r>
      <w:r>
        <w:fldChar w:fldCharType="separate"/>
      </w:r>
      <w:r>
        <w:rPr>
          <w:rStyle w:val="32"/>
          <w14:scene3d>
            <w14:lightRig w14:rig="threePt" w14:dir="t">
              <w14:rot w14:lat="0" w14:lon="0" w14:rev="0"/>
            </w14:lightRig>
          </w14:scene3d>
        </w:rPr>
        <w:t>7.7</w:t>
      </w:r>
      <w:r>
        <w:rPr>
          <w:rStyle w:val="32"/>
        </w:rPr>
        <w:t xml:space="preserve"> 自然资源状况信息提取</w:t>
      </w:r>
      <w:r>
        <w:tab/>
      </w:r>
      <w:r>
        <w:fldChar w:fldCharType="begin"/>
      </w:r>
      <w:r>
        <w:instrText xml:space="preserve"> PAGEREF _Toc145916779 \h </w:instrText>
      </w:r>
      <w:r>
        <w:fldChar w:fldCharType="separate"/>
      </w:r>
      <w:r>
        <w:t>13</w:t>
      </w:r>
      <w:r>
        <w:fldChar w:fldCharType="end"/>
      </w:r>
      <w:r>
        <w:fldChar w:fldCharType="end"/>
      </w:r>
    </w:p>
    <w:p w14:paraId="5A67F65F">
      <w:pPr>
        <w:pStyle w:val="24"/>
        <w:rPr>
          <w:rFonts w:asciiTheme="minorHAnsi" w:hAnsiTheme="minorHAnsi" w:eastAsiaTheme="minorEastAsia" w:cstheme="minorBidi"/>
          <w:szCs w:val="22"/>
          <w14:ligatures w14:val="standardContextual"/>
        </w:rPr>
      </w:pPr>
      <w:r>
        <w:fldChar w:fldCharType="begin"/>
      </w:r>
      <w:r>
        <w:instrText xml:space="preserve"> HYPERLINK \l "_Toc145916780" </w:instrText>
      </w:r>
      <w:r>
        <w:fldChar w:fldCharType="separate"/>
      </w:r>
      <w:r>
        <w:rPr>
          <w:rStyle w:val="32"/>
          <w14:scene3d>
            <w14:lightRig w14:rig="threePt" w14:dir="t">
              <w14:rot w14:lat="0" w14:lon="0" w14:rev="0"/>
            </w14:lightRig>
          </w14:scene3d>
        </w:rPr>
        <w:t>7.8</w:t>
      </w:r>
      <w:r>
        <w:rPr>
          <w:rStyle w:val="32"/>
        </w:rPr>
        <w:t xml:space="preserve"> 调查成果编制</w:t>
      </w:r>
      <w:r>
        <w:tab/>
      </w:r>
      <w:r>
        <w:fldChar w:fldCharType="begin"/>
      </w:r>
      <w:r>
        <w:instrText xml:space="preserve"> PAGEREF _Toc145916780 \h </w:instrText>
      </w:r>
      <w:r>
        <w:fldChar w:fldCharType="separate"/>
      </w:r>
      <w:r>
        <w:t>13</w:t>
      </w:r>
      <w:r>
        <w:fldChar w:fldCharType="end"/>
      </w:r>
      <w:r>
        <w:fldChar w:fldCharType="end"/>
      </w:r>
    </w:p>
    <w:p w14:paraId="6607D88E">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"_Toc145916781" </w:instrText>
      </w:r>
      <w:r>
        <w:fldChar w:fldCharType="separate"/>
      </w:r>
      <w:r>
        <w:rPr>
          <w:rStyle w:val="32"/>
        </w:rPr>
        <w:t>8 审核</w:t>
      </w:r>
      <w:r>
        <w:tab/>
      </w:r>
      <w:r>
        <w:fldChar w:fldCharType="begin"/>
      </w:r>
      <w:r>
        <w:instrText xml:space="preserve"> PAGEREF _Toc145916781 \h </w:instrText>
      </w:r>
      <w:r>
        <w:fldChar w:fldCharType="separate"/>
      </w:r>
      <w:r>
        <w:t>13</w:t>
      </w:r>
      <w:r>
        <w:fldChar w:fldCharType="end"/>
      </w:r>
      <w:r>
        <w:fldChar w:fldCharType="end"/>
      </w:r>
    </w:p>
    <w:p w14:paraId="3C905C24">
      <w:pPr>
        <w:pStyle w:val="24"/>
        <w:rPr>
          <w:rFonts w:asciiTheme="minorHAnsi" w:hAnsiTheme="minorHAnsi" w:eastAsiaTheme="minorEastAsia" w:cstheme="minorBidi"/>
          <w:szCs w:val="22"/>
          <w14:ligatures w14:val="standardContextual"/>
        </w:rPr>
      </w:pPr>
      <w:r>
        <w:fldChar w:fldCharType="begin"/>
      </w:r>
      <w:r>
        <w:instrText xml:space="preserve"> HYPERLINK \l "_Toc145916782" </w:instrText>
      </w:r>
      <w:r>
        <w:fldChar w:fldCharType="separate"/>
      </w:r>
      <w:r>
        <w:rPr>
          <w:rStyle w:val="32"/>
          <w14:scene3d>
            <w14:lightRig w14:rig="threePt" w14:dir="t">
              <w14:rot w14:lat="0" w14:lon="0" w14:rev="0"/>
            </w14:lightRig>
          </w14:scene3d>
        </w:rPr>
        <w:t>8.1</w:t>
      </w:r>
      <w:r>
        <w:rPr>
          <w:rStyle w:val="32"/>
        </w:rPr>
        <w:t xml:space="preserve"> 审核主体</w:t>
      </w:r>
      <w:r>
        <w:tab/>
      </w:r>
      <w:r>
        <w:fldChar w:fldCharType="begin"/>
      </w:r>
      <w:r>
        <w:instrText xml:space="preserve"> PAGEREF _Toc145916782 \h </w:instrText>
      </w:r>
      <w:r>
        <w:fldChar w:fldCharType="separate"/>
      </w:r>
      <w:r>
        <w:t>13</w:t>
      </w:r>
      <w:r>
        <w:fldChar w:fldCharType="end"/>
      </w:r>
      <w:r>
        <w:fldChar w:fldCharType="end"/>
      </w:r>
    </w:p>
    <w:p w14:paraId="3D77CE6C">
      <w:pPr>
        <w:pStyle w:val="24"/>
        <w:rPr>
          <w:rFonts w:asciiTheme="minorHAnsi" w:hAnsiTheme="minorHAnsi" w:eastAsiaTheme="minorEastAsia" w:cstheme="minorBidi"/>
          <w:szCs w:val="22"/>
          <w14:ligatures w14:val="standardContextual"/>
        </w:rPr>
      </w:pPr>
      <w:r>
        <w:fldChar w:fldCharType="begin"/>
      </w:r>
      <w:r>
        <w:instrText xml:space="preserve"> HYPERLINK \l "_Toc145916783" </w:instrText>
      </w:r>
      <w:r>
        <w:fldChar w:fldCharType="separate"/>
      </w:r>
      <w:r>
        <w:rPr>
          <w:rStyle w:val="32"/>
          <w14:scene3d>
            <w14:lightRig w14:rig="threePt" w14:dir="t">
              <w14:rot w14:lat="0" w14:lon="0" w14:rev="0"/>
            </w14:lightRig>
          </w14:scene3d>
        </w:rPr>
        <w:t>8.2</w:t>
      </w:r>
      <w:r>
        <w:rPr>
          <w:rStyle w:val="32"/>
        </w:rPr>
        <w:t xml:space="preserve"> 审核内容</w:t>
      </w:r>
      <w:r>
        <w:tab/>
      </w:r>
      <w:r>
        <w:fldChar w:fldCharType="begin"/>
      </w:r>
      <w:r>
        <w:instrText xml:space="preserve"> PAGEREF _Toc145916783 \h </w:instrText>
      </w:r>
      <w:r>
        <w:fldChar w:fldCharType="separate"/>
      </w:r>
      <w:r>
        <w:t>13</w:t>
      </w:r>
      <w:r>
        <w:fldChar w:fldCharType="end"/>
      </w:r>
      <w:r>
        <w:fldChar w:fldCharType="end"/>
      </w:r>
    </w:p>
    <w:p w14:paraId="015D0ED3">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"_Toc145916784" </w:instrText>
      </w:r>
      <w:r>
        <w:fldChar w:fldCharType="separate"/>
      </w:r>
      <w:r>
        <w:rPr>
          <w:rStyle w:val="32"/>
        </w:rPr>
        <w:t>9 公告</w:t>
      </w:r>
      <w:r>
        <w:tab/>
      </w:r>
      <w:r>
        <w:fldChar w:fldCharType="begin"/>
      </w:r>
      <w:r>
        <w:instrText xml:space="preserve"> PAGEREF _Toc145916784 \h </w:instrText>
      </w:r>
      <w:r>
        <w:fldChar w:fldCharType="separate"/>
      </w:r>
      <w:r>
        <w:t>14</w:t>
      </w:r>
      <w:r>
        <w:fldChar w:fldCharType="end"/>
      </w:r>
      <w:r>
        <w:fldChar w:fldCharType="end"/>
      </w:r>
    </w:p>
    <w:p w14:paraId="14083C06">
      <w:pPr>
        <w:pStyle w:val="24"/>
        <w:rPr>
          <w:rFonts w:asciiTheme="minorHAnsi" w:hAnsiTheme="minorHAnsi" w:eastAsiaTheme="minorEastAsia" w:cstheme="minorBidi"/>
          <w:szCs w:val="22"/>
          <w14:ligatures w14:val="standardContextual"/>
        </w:rPr>
      </w:pPr>
      <w:r>
        <w:fldChar w:fldCharType="begin"/>
      </w:r>
      <w:r>
        <w:instrText xml:space="preserve"> HYPERLINK \l "_Toc145916785" </w:instrText>
      </w:r>
      <w:r>
        <w:fldChar w:fldCharType="separate"/>
      </w:r>
      <w:r>
        <w:rPr>
          <w:rStyle w:val="32"/>
          <w14:scene3d>
            <w14:lightRig w14:rig="threePt" w14:dir="t">
              <w14:rot w14:lat="0" w14:lon="0" w14:rev="0"/>
            </w14:lightRig>
          </w14:scene3d>
        </w:rPr>
        <w:t>9.1</w:t>
      </w:r>
      <w:r>
        <w:rPr>
          <w:rStyle w:val="32"/>
        </w:rPr>
        <w:t xml:space="preserve"> 公告要求</w:t>
      </w:r>
      <w:r>
        <w:tab/>
      </w:r>
      <w:r>
        <w:fldChar w:fldCharType="begin"/>
      </w:r>
      <w:r>
        <w:instrText xml:space="preserve"> PAGEREF _Toc145916785 \h </w:instrText>
      </w:r>
      <w:r>
        <w:fldChar w:fldCharType="separate"/>
      </w:r>
      <w:r>
        <w:t>14</w:t>
      </w:r>
      <w:r>
        <w:fldChar w:fldCharType="end"/>
      </w:r>
      <w:r>
        <w:fldChar w:fldCharType="end"/>
      </w:r>
    </w:p>
    <w:p w14:paraId="00C24013">
      <w:pPr>
        <w:pStyle w:val="24"/>
        <w:rPr>
          <w:rFonts w:asciiTheme="minorHAnsi" w:hAnsiTheme="minorHAnsi" w:eastAsiaTheme="minorEastAsia" w:cstheme="minorBidi"/>
          <w:szCs w:val="22"/>
          <w14:ligatures w14:val="standardContextual"/>
        </w:rPr>
      </w:pPr>
      <w:r>
        <w:fldChar w:fldCharType="begin"/>
      </w:r>
      <w:r>
        <w:instrText xml:space="preserve"> HYPERLINK \l "_Toc145916786" </w:instrText>
      </w:r>
      <w:r>
        <w:fldChar w:fldCharType="separate"/>
      </w:r>
      <w:r>
        <w:rPr>
          <w:rStyle w:val="32"/>
          <w14:scene3d>
            <w14:lightRig w14:rig="threePt" w14:dir="t">
              <w14:rot w14:lat="0" w14:lon="0" w14:rev="0"/>
            </w14:lightRig>
          </w14:scene3d>
        </w:rPr>
        <w:t>9.2</w:t>
      </w:r>
      <w:r>
        <w:rPr>
          <w:rStyle w:val="32"/>
        </w:rPr>
        <w:t xml:space="preserve"> 异议处理</w:t>
      </w:r>
      <w:r>
        <w:tab/>
      </w:r>
      <w:r>
        <w:fldChar w:fldCharType="begin"/>
      </w:r>
      <w:r>
        <w:instrText xml:space="preserve"> PAGEREF _Toc145916786 \h </w:instrText>
      </w:r>
      <w:r>
        <w:fldChar w:fldCharType="separate"/>
      </w:r>
      <w:r>
        <w:t>15</w:t>
      </w:r>
      <w:r>
        <w:fldChar w:fldCharType="end"/>
      </w:r>
      <w:r>
        <w:fldChar w:fldCharType="end"/>
      </w:r>
    </w:p>
    <w:p w14:paraId="1D8D184A">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"_Toc145916787" </w:instrText>
      </w:r>
      <w:r>
        <w:fldChar w:fldCharType="separate"/>
      </w:r>
      <w:r>
        <w:rPr>
          <w:rStyle w:val="32"/>
        </w:rPr>
        <w:t>10 登簿</w:t>
      </w:r>
      <w:r>
        <w:tab/>
      </w:r>
      <w:r>
        <w:fldChar w:fldCharType="begin"/>
      </w:r>
      <w:r>
        <w:instrText xml:space="preserve"> PAGEREF _Toc145916787 \h </w:instrText>
      </w:r>
      <w:r>
        <w:fldChar w:fldCharType="separate"/>
      </w:r>
      <w:r>
        <w:t>15</w:t>
      </w:r>
      <w:r>
        <w:fldChar w:fldCharType="end"/>
      </w:r>
      <w:r>
        <w:fldChar w:fldCharType="end"/>
      </w:r>
    </w:p>
    <w:p w14:paraId="723D7959">
      <w:pPr>
        <w:pStyle w:val="24"/>
        <w:rPr>
          <w:rFonts w:asciiTheme="minorHAnsi" w:hAnsiTheme="minorHAnsi" w:eastAsiaTheme="minorEastAsia" w:cstheme="minorBidi"/>
          <w:szCs w:val="22"/>
          <w14:ligatures w14:val="standardContextual"/>
        </w:rPr>
      </w:pPr>
      <w:r>
        <w:fldChar w:fldCharType="begin"/>
      </w:r>
      <w:r>
        <w:instrText xml:space="preserve"> HYPERLINK \l "_Toc145916788" </w:instrText>
      </w:r>
      <w:r>
        <w:fldChar w:fldCharType="separate"/>
      </w:r>
      <w:r>
        <w:rPr>
          <w:rStyle w:val="32"/>
          <w14:scene3d>
            <w14:lightRig w14:rig="threePt" w14:dir="t">
              <w14:rot w14:lat="0" w14:lon="0" w14:rev="0"/>
            </w14:lightRig>
          </w14:scene3d>
        </w:rPr>
        <w:t>10.1</w:t>
      </w:r>
      <w:r>
        <w:rPr>
          <w:rStyle w:val="32"/>
        </w:rPr>
        <w:t xml:space="preserve"> 登记成果编制</w:t>
      </w:r>
      <w:r>
        <w:tab/>
      </w:r>
      <w:r>
        <w:fldChar w:fldCharType="begin"/>
      </w:r>
      <w:r>
        <w:instrText xml:space="preserve"> PAGEREF _Toc145916788 \h </w:instrText>
      </w:r>
      <w:r>
        <w:fldChar w:fldCharType="separate"/>
      </w:r>
      <w:r>
        <w:t>15</w:t>
      </w:r>
      <w:r>
        <w:fldChar w:fldCharType="end"/>
      </w:r>
      <w:r>
        <w:fldChar w:fldCharType="end"/>
      </w:r>
    </w:p>
    <w:p w14:paraId="226D138B">
      <w:pPr>
        <w:pStyle w:val="24"/>
        <w:rPr>
          <w:rFonts w:asciiTheme="minorHAnsi" w:hAnsiTheme="minorHAnsi" w:eastAsiaTheme="minorEastAsia" w:cstheme="minorBidi"/>
          <w:szCs w:val="22"/>
          <w14:ligatures w14:val="standardContextual"/>
        </w:rPr>
      </w:pPr>
      <w:r>
        <w:fldChar w:fldCharType="begin"/>
      </w:r>
      <w:r>
        <w:instrText xml:space="preserve"> HYPERLINK \l "_Toc145916789" </w:instrText>
      </w:r>
      <w:r>
        <w:fldChar w:fldCharType="separate"/>
      </w:r>
      <w:r>
        <w:rPr>
          <w:rStyle w:val="32"/>
          <w14:scene3d>
            <w14:lightRig w14:rig="threePt" w14:dir="t">
              <w14:rot w14:lat="0" w14:lon="0" w14:rev="0"/>
            </w14:lightRig>
          </w14:scene3d>
        </w:rPr>
        <w:t>10.2</w:t>
      </w:r>
      <w:r>
        <w:rPr>
          <w:rStyle w:val="32"/>
        </w:rPr>
        <w:t xml:space="preserve"> 登簿发证</w:t>
      </w:r>
      <w:r>
        <w:tab/>
      </w:r>
      <w:r>
        <w:fldChar w:fldCharType="begin"/>
      </w:r>
      <w:r>
        <w:instrText xml:space="preserve"> PAGEREF _Toc145916789 \h </w:instrText>
      </w:r>
      <w:r>
        <w:fldChar w:fldCharType="separate"/>
      </w:r>
      <w:r>
        <w:t>15</w:t>
      </w:r>
      <w:r>
        <w:fldChar w:fldCharType="end"/>
      </w:r>
      <w:r>
        <w:fldChar w:fldCharType="end"/>
      </w:r>
    </w:p>
    <w:p w14:paraId="01F1ABFD">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"_Toc145916790" </w:instrText>
      </w:r>
      <w:r>
        <w:fldChar w:fldCharType="separate"/>
      </w:r>
      <w:r>
        <w:rPr>
          <w:rStyle w:val="32"/>
          <w:spacing w:val="100"/>
        </w:rPr>
        <w:t>附录A</w:t>
      </w:r>
      <w:r>
        <w:rPr>
          <w:rStyle w:val="32"/>
        </w:rPr>
        <w:t xml:space="preserve"> （资料性） 原始资料清单</w:t>
      </w:r>
      <w:r>
        <w:tab/>
      </w:r>
      <w:r>
        <w:fldChar w:fldCharType="begin"/>
      </w:r>
      <w:r>
        <w:instrText xml:space="preserve"> PAGEREF _Toc145916790 \h </w:instrText>
      </w:r>
      <w:r>
        <w:fldChar w:fldCharType="separate"/>
      </w:r>
      <w:r>
        <w:t>16</w:t>
      </w:r>
      <w:r>
        <w:fldChar w:fldCharType="end"/>
      </w:r>
      <w:r>
        <w:fldChar w:fldCharType="end"/>
      </w:r>
    </w:p>
    <w:p w14:paraId="40DD3840">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"_Toc145916791" </w:instrText>
      </w:r>
      <w:r>
        <w:fldChar w:fldCharType="separate"/>
      </w:r>
      <w:r>
        <w:rPr>
          <w:rStyle w:val="32"/>
          <w:spacing w:val="100"/>
        </w:rPr>
        <w:t>附录B</w:t>
      </w:r>
      <w:r>
        <w:rPr>
          <w:rStyle w:val="32"/>
        </w:rPr>
        <w:t xml:space="preserve"> （规范性） 调查成果核实表</w:t>
      </w:r>
      <w:r>
        <w:tab/>
      </w:r>
      <w:r>
        <w:fldChar w:fldCharType="begin"/>
      </w:r>
      <w:r>
        <w:instrText xml:space="preserve"> PAGEREF _Toc145916791 \h </w:instrText>
      </w:r>
      <w:r>
        <w:fldChar w:fldCharType="separate"/>
      </w:r>
      <w:r>
        <w:t>17</w:t>
      </w:r>
      <w:r>
        <w:fldChar w:fldCharType="end"/>
      </w:r>
      <w:r>
        <w:fldChar w:fldCharType="end"/>
      </w:r>
    </w:p>
    <w:p w14:paraId="42832DD3">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8"/>
    <w:p w14:paraId="54474F78">
      <w:pPr>
        <w:pStyle w:val="89"/>
        <w:spacing w:before="900" w:after="468"/>
      </w:pPr>
      <w:bookmarkStart w:id="20" w:name="_Toc145916762"/>
      <w:bookmarkStart w:id="21" w:name="BookMark2"/>
      <w:r>
        <w:rPr>
          <w:spacing w:val="320"/>
        </w:rPr>
        <w:t>前</w:t>
      </w:r>
      <w:r>
        <w:t>言</w:t>
      </w:r>
      <w:bookmarkEnd w:id="19"/>
      <w:bookmarkEnd w:id="20"/>
    </w:p>
    <w:p w14:paraId="5E8400E3">
      <w:pPr>
        <w:pStyle w:val="56"/>
        <w:ind w:firstLine="420"/>
      </w:pPr>
      <w:r>
        <w:rPr>
          <w:rFonts w:hint="eastAsia"/>
        </w:rPr>
        <w:t>本文件按照GB/T 1.1—2020《标准化工作导则  第1部分：标准化文件的结构和起草规则》的规定起草。</w:t>
      </w:r>
    </w:p>
    <w:p w14:paraId="129E3404">
      <w:pPr>
        <w:pStyle w:val="56"/>
        <w:ind w:firstLine="420"/>
      </w:pPr>
      <w:r>
        <w:rPr>
          <w:rFonts w:hint="eastAsia"/>
        </w:rPr>
        <w:t>请注意本文件的某些内容可能涉及专利。本文件的发布机构不承担识别专利的责任。</w:t>
      </w:r>
    </w:p>
    <w:p w14:paraId="09347902">
      <w:pPr>
        <w:pStyle w:val="56"/>
        <w:ind w:firstLine="420"/>
      </w:pPr>
      <w:r>
        <w:rPr>
          <w:rFonts w:hint="eastAsia"/>
        </w:rPr>
        <w:t>本文件由湖南省自然资源厅提出并归口。</w:t>
      </w:r>
    </w:p>
    <w:p w14:paraId="7D52D0F1">
      <w:pPr>
        <w:pStyle w:val="56"/>
        <w:ind w:firstLine="420"/>
      </w:pPr>
      <w:r>
        <w:rPr>
          <w:rFonts w:hint="eastAsia"/>
        </w:rPr>
        <w:t>本文件起草单位：湖南省不动产登记中心。</w:t>
      </w:r>
    </w:p>
    <w:p w14:paraId="381E38DE">
      <w:pPr>
        <w:pStyle w:val="56"/>
        <w:ind w:firstLine="420"/>
      </w:pPr>
      <w:r>
        <w:rPr>
          <w:rFonts w:hint="eastAsia"/>
        </w:rPr>
        <w:t>本文件主要起草人：严洪亮、郭学松、王  璟、罗  瑜、郭利华、李海军、周  雨、范小虎、郭  湘、黄  蔚、刘殷春、张志君、李倩怡、汪锴毅、徐章运、杨  凯、张红英。</w:t>
      </w:r>
    </w:p>
    <w:p w14:paraId="6E68C6D6">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1"/>
    <w:p w14:paraId="38ED72E8">
      <w:pPr>
        <w:spacing w:line="20" w:lineRule="exact"/>
        <w:jc w:val="center"/>
        <w:rPr>
          <w:rFonts w:ascii="黑体" w:hAnsi="黑体" w:eastAsia="黑体"/>
          <w:sz w:val="32"/>
          <w:szCs w:val="32"/>
        </w:rPr>
      </w:pPr>
      <w:bookmarkStart w:id="22" w:name="BookMark4"/>
    </w:p>
    <w:p w14:paraId="5C9935A9">
      <w:pPr>
        <w:spacing w:line="20" w:lineRule="exact"/>
        <w:jc w:val="center"/>
        <w:rPr>
          <w:rFonts w:ascii="黑体" w:hAnsi="黑体" w:eastAsia="黑体"/>
          <w:sz w:val="32"/>
          <w:szCs w:val="32"/>
        </w:rPr>
      </w:pPr>
    </w:p>
    <w:sdt>
      <w:sdtPr>
        <w:tag w:val="NEW_STAND_NAME"/>
        <w:id w:val="595910757"/>
        <w:lock w:val="sdtLocked"/>
        <w:placeholder>
          <w:docPart w:val="03865A3772E54311B79CD82E91465777"/>
        </w:placeholder>
      </w:sdtPr>
      <w:sdtContent>
        <w:p w14:paraId="250CFEE1">
          <w:pPr>
            <w:pStyle w:val="177"/>
            <w:spacing w:before="3" w:beforeLines="1" w:after="686" w:afterLines="220"/>
          </w:pPr>
          <w:bookmarkStart w:id="23" w:name="NEW_STAND_NAME"/>
          <w:r>
            <w:rPr>
              <w:rFonts w:hint="eastAsia"/>
            </w:rPr>
            <w:t>水流确权登记技术规范</w:t>
          </w:r>
        </w:p>
      </w:sdtContent>
    </w:sdt>
    <w:bookmarkEnd w:id="23"/>
    <w:p w14:paraId="4307A7D3">
      <w:pPr>
        <w:pStyle w:val="104"/>
        <w:spacing w:before="312" w:after="312"/>
      </w:pPr>
      <w:bookmarkStart w:id="24" w:name="_Toc136415226"/>
      <w:bookmarkStart w:id="25" w:name="_Toc26648465"/>
      <w:bookmarkStart w:id="26" w:name="_Toc97191423"/>
      <w:bookmarkStart w:id="27" w:name="_Toc26986530"/>
      <w:bookmarkStart w:id="28" w:name="_Toc26986771"/>
      <w:bookmarkStart w:id="29" w:name="_Toc17233325"/>
      <w:bookmarkStart w:id="30" w:name="_Toc24884218"/>
      <w:bookmarkStart w:id="31" w:name="_Toc145916763"/>
      <w:bookmarkStart w:id="32" w:name="_Toc24884211"/>
      <w:bookmarkStart w:id="33" w:name="_Toc26718930"/>
      <w:bookmarkStart w:id="34" w:name="_Toc17233333"/>
      <w:r>
        <w:rPr>
          <w:rFonts w:hint="eastAsia"/>
        </w:rPr>
        <w:t>范围</w:t>
      </w:r>
      <w:bookmarkEnd w:id="24"/>
      <w:bookmarkEnd w:id="25"/>
      <w:bookmarkEnd w:id="26"/>
      <w:bookmarkEnd w:id="27"/>
      <w:bookmarkEnd w:id="28"/>
      <w:bookmarkEnd w:id="29"/>
      <w:bookmarkEnd w:id="30"/>
      <w:bookmarkEnd w:id="31"/>
      <w:bookmarkEnd w:id="32"/>
      <w:bookmarkEnd w:id="33"/>
      <w:bookmarkEnd w:id="34"/>
    </w:p>
    <w:p w14:paraId="40C8D964">
      <w:pPr>
        <w:pStyle w:val="56"/>
        <w:ind w:firstLine="420"/>
      </w:pPr>
      <w:bookmarkStart w:id="35" w:name="_Toc24884212"/>
      <w:bookmarkStart w:id="36" w:name="_Toc17233334"/>
      <w:bookmarkStart w:id="37" w:name="_Toc17233326"/>
      <w:bookmarkStart w:id="38" w:name="_Toc26648466"/>
      <w:bookmarkStart w:id="39" w:name="_Toc24884219"/>
      <w:r>
        <w:rPr>
          <w:rFonts w:hint="eastAsia"/>
        </w:rPr>
        <w:t>本文件规定了水流自然资源确权登记的通告、地籍调查、审核、公告、登簿等阶段的技术要求。</w:t>
      </w:r>
    </w:p>
    <w:p w14:paraId="6E089614">
      <w:pPr>
        <w:pStyle w:val="56"/>
        <w:ind w:firstLine="420"/>
      </w:pPr>
      <w:r>
        <w:rPr>
          <w:rFonts w:hint="eastAsia"/>
        </w:rPr>
        <w:t>本文件适用于湖南省水流确权登记的首次登记。</w:t>
      </w:r>
    </w:p>
    <w:p w14:paraId="6FEB9DEF">
      <w:pPr>
        <w:pStyle w:val="104"/>
        <w:spacing w:before="312" w:after="312"/>
      </w:pPr>
      <w:bookmarkStart w:id="40" w:name="_Toc26986531"/>
      <w:bookmarkStart w:id="41" w:name="_Toc136415227"/>
      <w:bookmarkStart w:id="42" w:name="_Toc26718931"/>
      <w:bookmarkStart w:id="43" w:name="_Toc97191424"/>
      <w:bookmarkStart w:id="44" w:name="_Toc26986772"/>
      <w:bookmarkStart w:id="45" w:name="_Toc145916764"/>
      <w:r>
        <w:rPr>
          <w:rFonts w:hint="eastAsia"/>
        </w:rPr>
        <w:t>规范性引用文件</w:t>
      </w:r>
      <w:bookmarkEnd w:id="35"/>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55A7194022AC4BCF8EAA34E9B9062AE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12C0456">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DCB8AAB">
      <w:pPr>
        <w:pStyle w:val="56"/>
        <w:ind w:firstLine="420"/>
      </w:pPr>
      <w:r>
        <w:t>DB43</w:t>
      </w:r>
      <w:r>
        <w:rPr>
          <w:rFonts w:hint="eastAsia"/>
        </w:rPr>
        <w:t>/</w:t>
      </w:r>
      <w:r>
        <w:t>T 2642</w:t>
      </w:r>
      <w:r>
        <w:rPr>
          <w:rFonts w:hint="eastAsia"/>
        </w:rPr>
        <w:t>-</w:t>
      </w:r>
      <w:r>
        <w:t xml:space="preserve">2023 </w:t>
      </w:r>
      <w:r>
        <w:rPr>
          <w:rFonts w:hint="eastAsia"/>
        </w:rPr>
        <w:t>自然保护地确权登记技术规范</w:t>
      </w:r>
    </w:p>
    <w:p w14:paraId="543C1AC0">
      <w:pPr>
        <w:pStyle w:val="104"/>
        <w:spacing w:before="312" w:after="312"/>
      </w:pPr>
      <w:bookmarkStart w:id="46" w:name="_Toc145916765"/>
      <w:bookmarkStart w:id="47" w:name="_Toc136415228"/>
      <w:bookmarkStart w:id="48" w:name="_Toc97191425"/>
      <w:r>
        <w:rPr>
          <w:rFonts w:hint="eastAsia"/>
          <w:szCs w:val="21"/>
        </w:rPr>
        <w:t>术语和定义</w:t>
      </w:r>
      <w:bookmarkEnd w:id="46"/>
      <w:bookmarkEnd w:id="47"/>
      <w:bookmarkEnd w:id="48"/>
    </w:p>
    <w:sdt>
      <w:sdtPr>
        <w:id w:val="-1909835108"/>
        <w:placeholder>
          <w:docPart w:val="CBDC8D9C3DF2426F9896FB3DB834A1D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A303E22">
          <w:pPr>
            <w:pStyle w:val="56"/>
            <w:ind w:firstLine="420"/>
          </w:pPr>
          <w:bookmarkStart w:id="49" w:name="_Toc26986532"/>
          <w:bookmarkEnd w:id="49"/>
          <w:r>
            <w:t>下列术语和定义适用于本文件。</w:t>
          </w:r>
        </w:p>
      </w:sdtContent>
    </w:sdt>
    <w:p w14:paraId="7F88D6E3">
      <w:pPr>
        <w:pStyle w:val="223"/>
        <w:ind w:left="420" w:hanging="420" w:hangingChars="200"/>
        <w:rPr>
          <w:rFonts w:ascii="黑体" w:hAnsi="黑体" w:eastAsia="黑体"/>
        </w:rPr>
      </w:pPr>
    </w:p>
    <w:p w14:paraId="6E7108F6">
      <w:pPr>
        <w:pStyle w:val="223"/>
        <w:numPr>
          <w:ilvl w:val="2"/>
          <w:numId w:val="0"/>
        </w:numPr>
        <w:ind w:firstLine="420" w:firstLineChars="200"/>
        <w:rPr>
          <w:rFonts w:ascii="黑体" w:hAnsi="黑体" w:eastAsia="黑体"/>
        </w:rPr>
      </w:pPr>
      <w:r>
        <w:rPr>
          <w:rFonts w:hint="eastAsia" w:ascii="黑体" w:hAnsi="黑体" w:eastAsia="黑体"/>
        </w:rPr>
        <w:t>自然生态空间　natural ecological space</w:t>
      </w:r>
    </w:p>
    <w:p w14:paraId="2743A1D9">
      <w:pPr>
        <w:pStyle w:val="56"/>
        <w:ind w:firstLine="420"/>
        <w:rPr>
          <w:color w:val="0000FF"/>
        </w:rPr>
      </w:pPr>
      <w:r>
        <w:rPr>
          <w:rFonts w:hint="eastAsia"/>
        </w:rPr>
        <w:t>具有自然属性、以提供生态产品或生态服务为主导功能的国土空间，涵盖需要保护和合理利用的森林、草原、湿地、河流、湖泊、滩涂、岸线、荒地等。</w:t>
      </w:r>
    </w:p>
    <w:p w14:paraId="6B941E2C">
      <w:pPr>
        <w:pStyle w:val="223"/>
        <w:rPr>
          <w:rFonts w:ascii="黑体" w:hAnsi="黑体" w:eastAsia="黑体"/>
        </w:rPr>
      </w:pPr>
    </w:p>
    <w:p w14:paraId="26777F96">
      <w:pPr>
        <w:pStyle w:val="223"/>
        <w:numPr>
          <w:ilvl w:val="2"/>
          <w:numId w:val="0"/>
        </w:numPr>
        <w:ind w:left="-420" w:leftChars="-200" w:firstLine="840" w:firstLineChars="400"/>
        <w:rPr>
          <w:rFonts w:ascii="黑体" w:hAnsi="黑体" w:eastAsia="黑体"/>
        </w:rPr>
      </w:pPr>
      <w:r>
        <w:rPr>
          <w:rFonts w:hint="eastAsia" w:ascii="黑体" w:hAnsi="黑体" w:eastAsia="黑体"/>
        </w:rPr>
        <w:t>自然资源确权登记 unified registration of natural resources</w:t>
      </w:r>
    </w:p>
    <w:p w14:paraId="34071713">
      <w:pPr>
        <w:pStyle w:val="56"/>
        <w:ind w:firstLine="420"/>
      </w:pPr>
      <w:r>
        <w:rPr>
          <w:rFonts w:hint="eastAsia"/>
        </w:rPr>
        <w:t>对水流、森林、山岭、草原、荒地、滩涂以及探明储量的矿产资源等自然资源的所有权和所有自然生态空间统一进行确权登记。</w:t>
      </w:r>
    </w:p>
    <w:p w14:paraId="7FB0F1AA">
      <w:pPr>
        <w:pStyle w:val="223"/>
        <w:ind w:left="420" w:hanging="420" w:hangingChars="200"/>
        <w:rPr>
          <w:rFonts w:ascii="黑体" w:hAnsi="黑体" w:eastAsia="黑体"/>
        </w:rPr>
      </w:pPr>
      <w:r>
        <w:rPr>
          <w:rFonts w:hint="eastAsia" w:ascii="黑体" w:hAnsi="黑体" w:eastAsia="黑体"/>
        </w:rPr>
        <w:t xml:space="preserve"> </w:t>
      </w:r>
    </w:p>
    <w:p w14:paraId="24D7E761">
      <w:pPr>
        <w:pStyle w:val="223"/>
        <w:numPr>
          <w:ilvl w:val="2"/>
          <w:numId w:val="0"/>
        </w:numPr>
        <w:ind w:firstLine="420" w:firstLineChars="200"/>
        <w:rPr>
          <w:rFonts w:ascii="黑体" w:hAnsi="黑体" w:eastAsia="黑体"/>
        </w:rPr>
      </w:pPr>
      <w:r>
        <w:rPr>
          <w:rFonts w:hint="eastAsia" w:ascii="黑体" w:hAnsi="黑体" w:eastAsia="黑体"/>
        </w:rPr>
        <w:t>自然资源登记单元　natural resource registration unit</w:t>
      </w:r>
    </w:p>
    <w:p w14:paraId="419124DC">
      <w:pPr>
        <w:pStyle w:val="56"/>
        <w:ind w:firstLine="420"/>
        <w:rPr>
          <w:rFonts w:ascii="黑体" w:hAnsi="黑体" w:eastAsia="黑体"/>
        </w:rPr>
      </w:pPr>
      <w:r>
        <w:rPr>
          <w:rFonts w:hint="eastAsia"/>
        </w:rPr>
        <w:t>自然资源统一确权登记的基本单位。由登记机构会同水利、林草、生态环境等部门在自然资源所有权范围的基础上，综合考虑不同自然资源种类和在生态、经济、国防等方面的重要程度以及相对完整的生态功能、集中连片等因素划定的相对封闭的空间范围。</w:t>
      </w:r>
    </w:p>
    <w:p w14:paraId="252FFB70">
      <w:pPr>
        <w:pStyle w:val="104"/>
        <w:spacing w:before="312" w:after="312"/>
      </w:pPr>
      <w:bookmarkStart w:id="50" w:name="_Toc136352412"/>
      <w:bookmarkStart w:id="51" w:name="_Toc1925013670"/>
      <w:bookmarkStart w:id="52" w:name="_Toc1678947511"/>
      <w:bookmarkStart w:id="53" w:name="_Toc145916766"/>
      <w:bookmarkStart w:id="54" w:name="_Toc119310696"/>
      <w:bookmarkStart w:id="55" w:name="_Toc136415229"/>
      <w:bookmarkStart w:id="56" w:name="_Toc136356905"/>
      <w:r>
        <w:rPr>
          <w:rFonts w:hint="eastAsia"/>
        </w:rPr>
        <w:t>数学基础</w:t>
      </w:r>
      <w:bookmarkEnd w:id="50"/>
      <w:bookmarkEnd w:id="51"/>
      <w:bookmarkEnd w:id="52"/>
      <w:bookmarkEnd w:id="53"/>
      <w:bookmarkEnd w:id="54"/>
      <w:bookmarkEnd w:id="55"/>
      <w:bookmarkEnd w:id="56"/>
    </w:p>
    <w:p w14:paraId="7229FA39">
      <w:pPr>
        <w:pStyle w:val="56"/>
        <w:ind w:firstLine="420"/>
      </w:pPr>
      <w:r>
        <w:rPr>
          <w:rFonts w:hint="eastAsia"/>
        </w:rPr>
        <w:t>采用 2000 国家大地坐标系（CGCS2000），1985国家高程基准，高斯—克吕格投影，标准的3度分带，调查比例尺不小于1:5000。</w:t>
      </w:r>
    </w:p>
    <w:p w14:paraId="6A04E4DC">
      <w:pPr>
        <w:pStyle w:val="104"/>
        <w:spacing w:before="312" w:after="312"/>
      </w:pPr>
      <w:bookmarkStart w:id="57" w:name="_Toc136352413"/>
      <w:bookmarkStart w:id="58" w:name="_Toc1332714591"/>
      <w:bookmarkStart w:id="59" w:name="_Toc145916767"/>
      <w:bookmarkStart w:id="60" w:name="_Toc119310697"/>
      <w:bookmarkStart w:id="61" w:name="_Toc136415230"/>
      <w:bookmarkStart w:id="62" w:name="_Toc85813604"/>
      <w:bookmarkStart w:id="63" w:name="_Toc136356906"/>
      <w:bookmarkStart w:id="64" w:name="_Toc85811987"/>
      <w:bookmarkStart w:id="65" w:name="_Toc422805463"/>
      <w:r>
        <w:rPr>
          <w:rFonts w:hint="eastAsia"/>
        </w:rPr>
        <w:t>登记程序</w:t>
      </w:r>
      <w:bookmarkEnd w:id="57"/>
      <w:bookmarkEnd w:id="58"/>
      <w:bookmarkEnd w:id="59"/>
      <w:bookmarkEnd w:id="60"/>
      <w:bookmarkEnd w:id="61"/>
      <w:bookmarkEnd w:id="62"/>
      <w:bookmarkEnd w:id="63"/>
      <w:bookmarkEnd w:id="64"/>
      <w:bookmarkEnd w:id="65"/>
    </w:p>
    <w:p w14:paraId="2E172600">
      <w:pPr>
        <w:pStyle w:val="56"/>
        <w:ind w:firstLine="420"/>
      </w:pPr>
      <w:r>
        <w:rPr>
          <w:rFonts w:hint="eastAsia"/>
        </w:rPr>
        <w:t>自然资源首次登记程序为通告、地籍调查、审核、公告、登簿。</w:t>
      </w:r>
    </w:p>
    <w:p w14:paraId="7B469E60">
      <w:pPr>
        <w:pStyle w:val="132"/>
      </w:pPr>
      <w:r>
        <w:rPr>
          <w:rFonts w:hint="eastAsia"/>
        </w:rPr>
        <w:t>通告，包括资料收集及处理、预划登记单元、发布通告；</w:t>
      </w:r>
    </w:p>
    <w:p w14:paraId="10C5B1DE">
      <w:pPr>
        <w:pStyle w:val="132"/>
      </w:pPr>
      <w:r>
        <w:rPr>
          <w:rFonts w:hint="eastAsia"/>
        </w:rPr>
        <w:t>地籍调查，包括权属信息提取、关联信息提取、信息内业核实、外业补充调查、调查成果确认、划定登记单元、自然状况信息提取、调查成果编制；</w:t>
      </w:r>
    </w:p>
    <w:p w14:paraId="6857A446">
      <w:pPr>
        <w:pStyle w:val="132"/>
      </w:pPr>
      <w:r>
        <w:rPr>
          <w:rFonts w:hint="eastAsia"/>
        </w:rPr>
        <w:t>审核；</w:t>
      </w:r>
    </w:p>
    <w:p w14:paraId="126E3946">
      <w:pPr>
        <w:pStyle w:val="132"/>
      </w:pPr>
      <w:r>
        <w:rPr>
          <w:rFonts w:hint="eastAsia"/>
        </w:rPr>
        <w:t>公告；</w:t>
      </w:r>
    </w:p>
    <w:p w14:paraId="694D7D80">
      <w:pPr>
        <w:pStyle w:val="132"/>
      </w:pPr>
      <w:r>
        <w:rPr>
          <w:rFonts w:hint="eastAsia"/>
        </w:rPr>
        <w:t>登簿，包括登簿、登记成果编制。</w:t>
      </w:r>
    </w:p>
    <w:p w14:paraId="049707A2">
      <w:pPr>
        <w:pStyle w:val="104"/>
        <w:spacing w:before="312" w:after="312"/>
      </w:pPr>
      <w:bookmarkStart w:id="66" w:name="_Toc136352414"/>
      <w:bookmarkStart w:id="67" w:name="_Toc136415231"/>
      <w:bookmarkStart w:id="68" w:name="_Toc1414538638"/>
      <w:bookmarkStart w:id="69" w:name="_Toc136356907"/>
      <w:bookmarkStart w:id="70" w:name="_Toc1113686783"/>
      <w:bookmarkStart w:id="71" w:name="_Toc145916768"/>
      <w:bookmarkStart w:id="72" w:name="_Toc85811991"/>
      <w:bookmarkStart w:id="73" w:name="_Toc85813608"/>
      <w:bookmarkStart w:id="74" w:name="_Toc119310698"/>
      <w:r>
        <w:rPr>
          <w:rFonts w:hint="eastAsia"/>
        </w:rPr>
        <w:t>通告</w:t>
      </w:r>
      <w:bookmarkEnd w:id="66"/>
      <w:bookmarkEnd w:id="67"/>
      <w:bookmarkEnd w:id="68"/>
      <w:bookmarkEnd w:id="69"/>
      <w:bookmarkEnd w:id="70"/>
      <w:bookmarkEnd w:id="71"/>
    </w:p>
    <w:p w14:paraId="128FA3D1">
      <w:pPr>
        <w:pStyle w:val="105"/>
        <w:spacing w:before="156" w:after="156"/>
      </w:pPr>
      <w:bookmarkStart w:id="75" w:name="_Toc136352415"/>
      <w:bookmarkStart w:id="76" w:name="_Toc713441568"/>
      <w:bookmarkStart w:id="77" w:name="_Toc145916769"/>
      <w:bookmarkStart w:id="78" w:name="_Toc2037583894"/>
      <w:bookmarkStart w:id="79" w:name="_Toc136356908"/>
      <w:bookmarkStart w:id="80" w:name="_Toc136415232"/>
      <w:r>
        <w:rPr>
          <w:rFonts w:hint="eastAsia"/>
        </w:rPr>
        <w:t>资料收集</w:t>
      </w:r>
      <w:bookmarkEnd w:id="72"/>
      <w:bookmarkEnd w:id="73"/>
      <w:r>
        <w:rPr>
          <w:rFonts w:hint="eastAsia"/>
        </w:rPr>
        <w:t>及处理</w:t>
      </w:r>
      <w:bookmarkEnd w:id="74"/>
      <w:bookmarkEnd w:id="75"/>
      <w:bookmarkEnd w:id="76"/>
      <w:bookmarkEnd w:id="77"/>
      <w:bookmarkEnd w:id="78"/>
      <w:bookmarkEnd w:id="79"/>
      <w:bookmarkEnd w:id="80"/>
    </w:p>
    <w:p w14:paraId="2EA814F3">
      <w:pPr>
        <w:pStyle w:val="65"/>
        <w:spacing w:before="156" w:after="156"/>
      </w:pPr>
      <w:bookmarkStart w:id="81" w:name="_Toc85813609"/>
      <w:bookmarkStart w:id="82" w:name="_Toc2131477656"/>
      <w:bookmarkStart w:id="83" w:name="_Toc85811992"/>
      <w:bookmarkStart w:id="84" w:name="_Toc1867207341"/>
      <w:bookmarkStart w:id="85" w:name="_Toc136352416"/>
      <w:bookmarkStart w:id="86" w:name="_Toc119310699"/>
      <w:r>
        <w:rPr>
          <w:rFonts w:hint="eastAsia"/>
        </w:rPr>
        <w:t>资料收集</w:t>
      </w:r>
      <w:bookmarkEnd w:id="81"/>
      <w:bookmarkEnd w:id="82"/>
      <w:bookmarkEnd w:id="83"/>
      <w:bookmarkEnd w:id="84"/>
      <w:bookmarkEnd w:id="85"/>
      <w:bookmarkEnd w:id="86"/>
    </w:p>
    <w:p w14:paraId="12909562">
      <w:pPr>
        <w:pStyle w:val="94"/>
        <w:spacing w:before="156" w:after="156"/>
      </w:pPr>
      <w:r>
        <w:rPr>
          <w:rFonts w:hint="eastAsia"/>
        </w:rPr>
        <w:t>收集要求</w:t>
      </w:r>
    </w:p>
    <w:p w14:paraId="70AA67DC">
      <w:pPr>
        <w:pStyle w:val="56"/>
        <w:ind w:firstLine="420"/>
      </w:pPr>
      <w:r>
        <w:rPr>
          <w:rFonts w:hint="eastAsia"/>
        </w:rPr>
        <w:t>资料收集范围包括拟开展确权登记水流所涉及的区域。</w:t>
      </w:r>
    </w:p>
    <w:p w14:paraId="19887BB6">
      <w:pPr>
        <w:pStyle w:val="56"/>
        <w:ind w:firstLine="420"/>
      </w:pPr>
      <w:r>
        <w:rPr>
          <w:rFonts w:hint="eastAsia"/>
        </w:rPr>
        <w:t>资料类型包括数字化成果、文本、图件成果。优先收集现势性强的成果。</w:t>
      </w:r>
    </w:p>
    <w:p w14:paraId="78275EA3">
      <w:pPr>
        <w:pStyle w:val="56"/>
        <w:ind w:firstLine="420"/>
      </w:pPr>
      <w:r>
        <w:rPr>
          <w:rFonts w:hint="eastAsia"/>
        </w:rPr>
        <w:t>资料应来源于各级人民政府及相关职能部门或人民法院等司法机关。</w:t>
      </w:r>
    </w:p>
    <w:p w14:paraId="6A023F8E">
      <w:pPr>
        <w:pStyle w:val="94"/>
        <w:spacing w:before="156" w:after="156"/>
      </w:pPr>
      <w:r>
        <w:rPr>
          <w:rFonts w:hint="eastAsia"/>
        </w:rPr>
        <w:t>资料种类</w:t>
      </w:r>
    </w:p>
    <w:p w14:paraId="24D18FF5">
      <w:pPr>
        <w:pStyle w:val="56"/>
        <w:ind w:firstLine="420"/>
      </w:pPr>
      <w:r>
        <w:rPr>
          <w:rFonts w:hint="eastAsia"/>
        </w:rPr>
        <w:t>资料种类应包括以下内容，资料清单见附录A：</w:t>
      </w:r>
    </w:p>
    <w:p w14:paraId="21A38047">
      <w:pPr>
        <w:pStyle w:val="132"/>
      </w:pPr>
      <w:r>
        <w:rPr>
          <w:rFonts w:hint="eastAsia"/>
        </w:rPr>
        <w:t>基础资料：包括正射影像图、数字线划图等；</w:t>
      </w:r>
    </w:p>
    <w:p w14:paraId="06DAD312">
      <w:pPr>
        <w:pStyle w:val="132"/>
      </w:pPr>
      <w:r>
        <w:rPr>
          <w:rFonts w:hint="eastAsia"/>
        </w:rPr>
        <w:t>水流管理资料：河湖管理范围线、水利工程划界成果（包括水利工程管理范围界线、水利工程保护范围界线）、设计洪水位线、最高洪水位线、堤防、水域岸线等；</w:t>
      </w:r>
    </w:p>
    <w:p w14:paraId="64564CC3">
      <w:pPr>
        <w:pStyle w:val="132"/>
      </w:pPr>
      <w:r>
        <w:rPr>
          <w:rFonts w:hint="eastAsia"/>
        </w:rPr>
        <w:t>资源调查成果：包括国土调查、水资源调查、湿地资源调查、草原资源调查、森林资源调查、矿产资源储量等；</w:t>
      </w:r>
    </w:p>
    <w:p w14:paraId="485D4D9E">
      <w:pPr>
        <w:pStyle w:val="132"/>
      </w:pPr>
      <w:r>
        <w:rPr>
          <w:rFonts w:hint="eastAsia"/>
        </w:rPr>
        <w:t>确权登记成果：包括农村集体土地所有权、国有土地使用权、林权等；</w:t>
      </w:r>
    </w:p>
    <w:p w14:paraId="278FD894">
      <w:pPr>
        <w:pStyle w:val="132"/>
      </w:pPr>
      <w:r>
        <w:rPr>
          <w:rFonts w:hint="eastAsia"/>
        </w:rPr>
        <w:t>其它审批资料：水利工程等合法项目的征用地审批资料、与水流相关（在空间上交叉重叠）的各类自然保护地审批范围线等。</w:t>
      </w:r>
    </w:p>
    <w:p w14:paraId="5B0398CC">
      <w:pPr>
        <w:pStyle w:val="132"/>
      </w:pPr>
      <w:r>
        <w:rPr>
          <w:rFonts w:hint="eastAsia"/>
        </w:rPr>
        <w:t>权属争议处理资料：包括人民政府及职能部门出具的权属争议调解书、行政裁决、人民法院的司法判决书等；</w:t>
      </w:r>
    </w:p>
    <w:p w14:paraId="29E65750">
      <w:pPr>
        <w:pStyle w:val="132"/>
      </w:pPr>
      <w:r>
        <w:rPr>
          <w:rFonts w:hint="eastAsia"/>
        </w:rPr>
        <w:t>关联信息资料：包括登记单元内不动产权利信息、取水排污许可，国土空间规划明确的用途管制、生态保护红线、永久基本农田范围、城镇开发边界、特殊保护规定等。</w:t>
      </w:r>
    </w:p>
    <w:p w14:paraId="101AD46A">
      <w:pPr>
        <w:pStyle w:val="65"/>
        <w:spacing w:before="156" w:after="156"/>
      </w:pPr>
      <w:bookmarkStart w:id="87" w:name="_Toc51882741"/>
      <w:bookmarkStart w:id="88" w:name="_Toc119310700"/>
      <w:bookmarkStart w:id="89" w:name="_Toc85811996"/>
      <w:bookmarkStart w:id="90" w:name="_Toc136352417"/>
      <w:bookmarkStart w:id="91" w:name="_Toc1506523517"/>
      <w:bookmarkStart w:id="92" w:name="_Toc85813613"/>
      <w:r>
        <w:rPr>
          <w:rFonts w:hint="eastAsia"/>
        </w:rPr>
        <w:t>资料检查及处理</w:t>
      </w:r>
      <w:bookmarkEnd w:id="87"/>
      <w:bookmarkEnd w:id="88"/>
      <w:bookmarkEnd w:id="89"/>
      <w:bookmarkEnd w:id="90"/>
      <w:bookmarkEnd w:id="91"/>
      <w:bookmarkEnd w:id="92"/>
    </w:p>
    <w:p w14:paraId="67715F3A">
      <w:pPr>
        <w:pStyle w:val="94"/>
        <w:spacing w:before="156" w:after="156"/>
      </w:pPr>
      <w:bookmarkStart w:id="93" w:name="_Toc85811997"/>
      <w:bookmarkStart w:id="94" w:name="_Toc85813614"/>
      <w:r>
        <w:rPr>
          <w:rFonts w:hint="eastAsia"/>
        </w:rPr>
        <w:t>资料</w:t>
      </w:r>
      <w:bookmarkEnd w:id="93"/>
      <w:bookmarkEnd w:id="94"/>
      <w:r>
        <w:rPr>
          <w:rFonts w:hint="eastAsia"/>
        </w:rPr>
        <w:t>检查</w:t>
      </w:r>
    </w:p>
    <w:p w14:paraId="33632C62">
      <w:pPr>
        <w:pStyle w:val="167"/>
      </w:pPr>
      <w:r>
        <w:rPr>
          <w:rFonts w:hint="eastAsia"/>
        </w:rPr>
        <w:t>对收集的资料进行检查，包括齐全性、一致性、完整性、时效性、可利用性等检查。</w:t>
      </w:r>
    </w:p>
    <w:p w14:paraId="7BAA9921">
      <w:pPr>
        <w:pStyle w:val="167"/>
      </w:pPr>
      <w:r>
        <w:rPr>
          <w:rFonts w:hint="eastAsia"/>
        </w:rPr>
        <w:t>水流管理资料应检查以下内容：</w:t>
      </w:r>
    </w:p>
    <w:p w14:paraId="29CE555C">
      <w:pPr>
        <w:pStyle w:val="132"/>
      </w:pPr>
      <w:r>
        <w:rPr>
          <w:rFonts w:hint="eastAsia"/>
        </w:rPr>
        <w:t>河湖管理范围线是否连续完整；</w:t>
      </w:r>
    </w:p>
    <w:p w14:paraId="5708B652">
      <w:pPr>
        <w:pStyle w:val="132"/>
      </w:pPr>
      <w:r>
        <w:rPr>
          <w:rFonts w:hint="eastAsia"/>
        </w:rPr>
        <w:t>河湖管理范围线、水利工程管理范围线是否存在偏移、落入河流等明显错误；</w:t>
      </w:r>
    </w:p>
    <w:p w14:paraId="67B6AE17">
      <w:pPr>
        <w:pStyle w:val="132"/>
      </w:pPr>
      <w:r>
        <w:rPr>
          <w:rFonts w:hint="eastAsia"/>
        </w:rPr>
        <w:t>不同资料之间是否存在逻辑矛盾。</w:t>
      </w:r>
    </w:p>
    <w:p w14:paraId="509F6CC5">
      <w:pPr>
        <w:pStyle w:val="167"/>
      </w:pPr>
      <w:r>
        <w:rPr>
          <w:rFonts w:hint="eastAsia"/>
        </w:rPr>
        <w:t>资源调查成果应检查以下内容：</w:t>
      </w:r>
    </w:p>
    <w:p w14:paraId="1C9699D8">
      <w:pPr>
        <w:pStyle w:val="132"/>
      </w:pPr>
      <w:r>
        <w:rPr>
          <w:rFonts w:hint="eastAsia"/>
        </w:rPr>
        <w:t>国土调查、湿地资源调查、草原资源调查、森林资源调查、水资源调查、矿产资源储量调查等成果的数据库、文本、图件是否齐全；</w:t>
      </w:r>
    </w:p>
    <w:p w14:paraId="2E937DD8">
      <w:pPr>
        <w:pStyle w:val="132"/>
      </w:pPr>
      <w:r>
        <w:rPr>
          <w:rFonts w:hint="eastAsia"/>
        </w:rPr>
        <w:t>数据内容与名称是否一致，图库表记录内容是否一致；</w:t>
      </w:r>
    </w:p>
    <w:p w14:paraId="62B35DF4">
      <w:pPr>
        <w:pStyle w:val="132"/>
      </w:pPr>
      <w:r>
        <w:rPr>
          <w:rFonts w:hint="eastAsia"/>
        </w:rPr>
        <w:t>分析登记簿需填写的相关数量、质量信息是否齐全，能否直接利用等。</w:t>
      </w:r>
    </w:p>
    <w:p w14:paraId="0A801E68">
      <w:pPr>
        <w:pStyle w:val="167"/>
      </w:pPr>
      <w:r>
        <w:rPr>
          <w:rFonts w:hint="eastAsia"/>
        </w:rPr>
        <w:t>确权登记成果及权属争议处理资料应检查以下内容：</w:t>
      </w:r>
    </w:p>
    <w:p w14:paraId="61197FDA">
      <w:pPr>
        <w:pStyle w:val="132"/>
      </w:pPr>
      <w:r>
        <w:rPr>
          <w:rFonts w:hint="eastAsia"/>
        </w:rPr>
        <w:t>农村集体土地所有权确权登记数据库中有关指界、宗地图、界址线等确权扫描资料是否齐全，界址线、界址协议书或双方权利人签字是否存在缺失；</w:t>
      </w:r>
    </w:p>
    <w:p w14:paraId="535569BA">
      <w:pPr>
        <w:pStyle w:val="132"/>
      </w:pPr>
      <w:r>
        <w:rPr>
          <w:rFonts w:hint="eastAsia"/>
        </w:rPr>
        <w:t>国有土地使用权、林权证等权属资料的完整性；</w:t>
      </w:r>
    </w:p>
    <w:p w14:paraId="13A56DA6">
      <w:pPr>
        <w:pStyle w:val="132"/>
      </w:pPr>
      <w:r>
        <w:rPr>
          <w:rFonts w:hint="eastAsia"/>
        </w:rPr>
        <w:t>不动产坐落、权利人、面积、发证信息等是否齐全；</w:t>
      </w:r>
    </w:p>
    <w:p w14:paraId="10F19BE8">
      <w:pPr>
        <w:pStyle w:val="132"/>
      </w:pPr>
      <w:r>
        <w:rPr>
          <w:rFonts w:hint="eastAsia"/>
        </w:rPr>
        <w:t>权属材料是否合法有效；检查权属争议区的范围是否明确；</w:t>
      </w:r>
    </w:p>
    <w:p w14:paraId="3130D236">
      <w:pPr>
        <w:pStyle w:val="132"/>
      </w:pPr>
      <w:r>
        <w:rPr>
          <w:rFonts w:hint="eastAsia"/>
        </w:rPr>
        <w:t>同一宗争议地在不同时期是否有多个处理结果；</w:t>
      </w:r>
    </w:p>
    <w:p w14:paraId="7BF4045E">
      <w:pPr>
        <w:pStyle w:val="132"/>
      </w:pPr>
      <w:r>
        <w:rPr>
          <w:rFonts w:hint="eastAsia"/>
        </w:rPr>
        <w:t>图文簿册表记录的是否一致等。</w:t>
      </w:r>
    </w:p>
    <w:p w14:paraId="61115FDA">
      <w:pPr>
        <w:pStyle w:val="167"/>
      </w:pPr>
      <w:r>
        <w:rPr>
          <w:rFonts w:hint="eastAsia"/>
        </w:rPr>
        <w:t>其它审批资料应检查以下内容：</w:t>
      </w:r>
    </w:p>
    <w:p w14:paraId="523A87BB">
      <w:pPr>
        <w:pStyle w:val="132"/>
      </w:pPr>
      <w:r>
        <w:rPr>
          <w:rFonts w:hint="eastAsia"/>
        </w:rPr>
        <w:t>水利工程等合法项目的征用地审批资料是否齐全；</w:t>
      </w:r>
    </w:p>
    <w:p w14:paraId="39272C6E">
      <w:pPr>
        <w:pStyle w:val="132"/>
      </w:pPr>
      <w:r>
        <w:rPr>
          <w:rFonts w:hint="eastAsia"/>
        </w:rPr>
        <w:t>自然保护地审批资料是否合法；</w:t>
      </w:r>
    </w:p>
    <w:p w14:paraId="06336356">
      <w:pPr>
        <w:pStyle w:val="132"/>
      </w:pPr>
      <w:r>
        <w:rPr>
          <w:rFonts w:hint="eastAsia"/>
        </w:rPr>
        <w:t>自然保护地审批资料图文数据库记录是否一致；</w:t>
      </w:r>
    </w:p>
    <w:p w14:paraId="74F1873E">
      <w:pPr>
        <w:pStyle w:val="132"/>
      </w:pPr>
      <w:r>
        <w:rPr>
          <w:rFonts w:hint="eastAsia"/>
        </w:rPr>
        <w:t>自然保护地范围是否与水流交叉重叠。</w:t>
      </w:r>
    </w:p>
    <w:p w14:paraId="2698FB53">
      <w:pPr>
        <w:pStyle w:val="167"/>
      </w:pPr>
      <w:r>
        <w:rPr>
          <w:rFonts w:hint="eastAsia"/>
        </w:rPr>
        <w:t>关联信息资料应检查以下内容：</w:t>
      </w:r>
    </w:p>
    <w:p w14:paraId="1D9B84D7">
      <w:pPr>
        <w:pStyle w:val="132"/>
      </w:pPr>
      <w:r>
        <w:rPr>
          <w:rFonts w:hint="eastAsia"/>
        </w:rPr>
        <w:t>登记单元内不动产权利信息、取水排污许可、国土空间规划明确的用途等公共管制信息的资料是否齐全；</w:t>
      </w:r>
    </w:p>
    <w:p w14:paraId="5D3DE005">
      <w:pPr>
        <w:pStyle w:val="132"/>
      </w:pPr>
      <w:r>
        <w:rPr>
          <w:rFonts w:hint="eastAsia"/>
        </w:rPr>
        <w:t>数据内容与名称是否一致，图文库表记录的是否一致；</w:t>
      </w:r>
    </w:p>
    <w:p w14:paraId="57C3799A">
      <w:pPr>
        <w:pStyle w:val="132"/>
      </w:pPr>
      <w:r>
        <w:rPr>
          <w:rFonts w:hint="eastAsia"/>
        </w:rPr>
        <w:t>关联信息是否齐全，能否直接利用等。</w:t>
      </w:r>
    </w:p>
    <w:p w14:paraId="56497B1B">
      <w:pPr>
        <w:pStyle w:val="94"/>
        <w:spacing w:before="156" w:after="156"/>
        <w:rPr>
          <w:lang w:bidi="ar"/>
        </w:rPr>
      </w:pPr>
      <w:r>
        <w:rPr>
          <w:rFonts w:hint="eastAsia"/>
          <w:lang w:bidi="ar"/>
        </w:rPr>
        <w:t>资料处理</w:t>
      </w:r>
    </w:p>
    <w:p w14:paraId="234D0054">
      <w:pPr>
        <w:pStyle w:val="132"/>
        <w:numPr>
          <w:ilvl w:val="0"/>
          <w:numId w:val="0"/>
        </w:numPr>
        <w:ind w:left="851" w:hanging="426"/>
      </w:pPr>
      <w:r>
        <w:rPr>
          <w:rFonts w:hint="eastAsia"/>
        </w:rPr>
        <w:t>资料处理的要求是：</w:t>
      </w:r>
    </w:p>
    <w:p w14:paraId="0EA53E94">
      <w:pPr>
        <w:pStyle w:val="132"/>
      </w:pPr>
      <w:r>
        <w:rPr>
          <w:rFonts w:hint="eastAsia" w:hAnsi="宋体" w:cs="宋体"/>
          <w:lang w:bidi="ar"/>
        </w:rPr>
        <w:t>有纸质图件无电子图形的，将</w:t>
      </w:r>
      <w:r>
        <w:rPr>
          <w:rFonts w:hint="eastAsia"/>
        </w:rPr>
        <w:t>纸质图件扫描后进行校正、配准、矢量化；</w:t>
      </w:r>
    </w:p>
    <w:p w14:paraId="42C06394">
      <w:pPr>
        <w:pStyle w:val="132"/>
        <w:rPr>
          <w:rFonts w:hAnsi="宋体" w:cs="宋体"/>
          <w:lang w:bidi="ar"/>
        </w:rPr>
      </w:pPr>
      <w:r>
        <w:rPr>
          <w:rFonts w:hint="eastAsia" w:hAnsi="宋体" w:cs="宋体"/>
          <w:lang w:bidi="ar"/>
        </w:rPr>
        <w:t>无纸质或电子图形、但有文字描述其主要拐点位置的，先将拐点坐标落到图上，再以拐点连线的方式生成矢量化成果。如现有拐点信息，不足以精确描述其空间范围的，会同资料提供方进一步细化；</w:t>
      </w:r>
    </w:p>
    <w:p w14:paraId="597B29EB">
      <w:pPr>
        <w:pStyle w:val="132"/>
      </w:pPr>
      <w:r>
        <w:rPr>
          <w:rFonts w:hint="eastAsia"/>
        </w:rPr>
        <w:t>将不同格式的数据转换成相同的数据格式；</w:t>
      </w:r>
    </w:p>
    <w:p w14:paraId="468B3878">
      <w:pPr>
        <w:pStyle w:val="132"/>
      </w:pPr>
      <w:r>
        <w:rPr>
          <w:rFonts w:hint="eastAsia" w:hAnsi="宋体" w:cs="宋体"/>
          <w:lang w:bidi="ar"/>
        </w:rPr>
        <w:t>所有坐标系统一</w:t>
      </w:r>
      <w:r>
        <w:rPr>
          <w:rFonts w:hint="eastAsia"/>
        </w:rPr>
        <w:t>转换成CGCS2000。</w:t>
      </w:r>
    </w:p>
    <w:p w14:paraId="5038065E">
      <w:pPr>
        <w:pStyle w:val="105"/>
        <w:spacing w:before="156" w:after="156"/>
      </w:pPr>
      <w:bookmarkStart w:id="95" w:name="_Toc754165823"/>
      <w:bookmarkStart w:id="96" w:name="_Toc85813615"/>
      <w:bookmarkStart w:id="97" w:name="_Toc119310701"/>
      <w:bookmarkStart w:id="98" w:name="_Toc1417288896"/>
      <w:bookmarkStart w:id="99" w:name="_Toc136356909"/>
      <w:bookmarkStart w:id="100" w:name="_Toc145916770"/>
      <w:bookmarkStart w:id="101" w:name="_Toc136415233"/>
      <w:bookmarkStart w:id="102" w:name="_Toc136352418"/>
      <w:bookmarkStart w:id="103" w:name="_Toc85811998"/>
      <w:r>
        <w:rPr>
          <w:rFonts w:hint="eastAsia"/>
        </w:rPr>
        <w:t>预划登记单元</w:t>
      </w:r>
      <w:bookmarkEnd w:id="95"/>
      <w:bookmarkEnd w:id="96"/>
      <w:bookmarkEnd w:id="97"/>
      <w:bookmarkEnd w:id="98"/>
      <w:bookmarkEnd w:id="99"/>
      <w:bookmarkEnd w:id="100"/>
      <w:bookmarkEnd w:id="101"/>
      <w:bookmarkEnd w:id="102"/>
      <w:bookmarkEnd w:id="103"/>
    </w:p>
    <w:p w14:paraId="40E4A5B0">
      <w:pPr>
        <w:pStyle w:val="65"/>
        <w:spacing w:before="156" w:after="156"/>
      </w:pPr>
      <w:bookmarkStart w:id="104" w:name="_Toc136352419"/>
      <w:bookmarkStart w:id="105" w:name="_Toc85813616"/>
      <w:bookmarkStart w:id="106" w:name="_Toc119310702"/>
      <w:bookmarkStart w:id="107" w:name="_Toc553904583"/>
      <w:bookmarkStart w:id="108" w:name="_Toc682640981"/>
      <w:bookmarkStart w:id="109" w:name="_Toc85811999"/>
      <w:r>
        <w:rPr>
          <w:rFonts w:hint="eastAsia"/>
        </w:rPr>
        <w:t>工作底图</w:t>
      </w:r>
      <w:bookmarkEnd w:id="104"/>
      <w:bookmarkEnd w:id="105"/>
      <w:bookmarkEnd w:id="106"/>
      <w:bookmarkEnd w:id="107"/>
      <w:bookmarkEnd w:id="108"/>
      <w:bookmarkEnd w:id="109"/>
    </w:p>
    <w:p w14:paraId="7BB14BF1">
      <w:pPr>
        <w:pStyle w:val="56"/>
        <w:ind w:firstLine="420"/>
      </w:pPr>
      <w:r>
        <w:rPr>
          <w:rFonts w:hint="eastAsia"/>
        </w:rPr>
        <w:t>工作底图包括以下内容：</w:t>
      </w:r>
    </w:p>
    <w:p w14:paraId="43D6CCA2">
      <w:pPr>
        <w:pStyle w:val="132"/>
      </w:pPr>
      <w:r>
        <w:rPr>
          <w:rFonts w:hint="eastAsia"/>
        </w:rPr>
        <w:t>河湖管理范围线、水利工程管理范围线、设计洪水位线、最高洪水位线、堤防、水域岸线；</w:t>
      </w:r>
      <w:r>
        <w:t xml:space="preserve"> </w:t>
      </w:r>
    </w:p>
    <w:p w14:paraId="2A1F11B5">
      <w:pPr>
        <w:pStyle w:val="132"/>
      </w:pPr>
      <w:r>
        <w:rPr>
          <w:rFonts w:hint="eastAsia"/>
        </w:rPr>
        <w:t>农村集体土地所有权界线；</w:t>
      </w:r>
    </w:p>
    <w:p w14:paraId="274BA8EB">
      <w:pPr>
        <w:pStyle w:val="132"/>
      </w:pPr>
      <w:r>
        <w:rPr>
          <w:rFonts w:hint="eastAsia"/>
        </w:rPr>
        <w:t>合法建设项目用地审批范围线；</w:t>
      </w:r>
    </w:p>
    <w:p w14:paraId="46CD241F">
      <w:pPr>
        <w:pStyle w:val="132"/>
      </w:pPr>
      <w:r>
        <w:rPr>
          <w:rFonts w:hint="eastAsia"/>
        </w:rPr>
        <w:t>与水流相关的自然保护地审批范围线；</w:t>
      </w:r>
    </w:p>
    <w:p w14:paraId="59FD9914">
      <w:pPr>
        <w:pStyle w:val="132"/>
      </w:pPr>
      <w:r>
        <w:rPr>
          <w:rFonts w:hint="eastAsia" w:hAnsi="宋体" w:cs="宋体"/>
          <w:szCs w:val="21"/>
        </w:rPr>
        <w:t>矿产资源储量数据库导出的矿区范围</w:t>
      </w:r>
      <w:r>
        <w:rPr>
          <w:rFonts w:hint="eastAsia"/>
        </w:rPr>
        <w:t>线</w:t>
      </w:r>
      <w:r>
        <w:rPr>
          <w:rFonts w:hint="eastAsia" w:hAnsi="宋体" w:cs="宋体"/>
          <w:szCs w:val="21"/>
        </w:rPr>
        <w:t>；</w:t>
      </w:r>
    </w:p>
    <w:p w14:paraId="7CB4D6DA">
      <w:pPr>
        <w:pStyle w:val="132"/>
      </w:pPr>
      <w:r>
        <w:rPr>
          <w:rFonts w:hint="eastAsia"/>
        </w:rPr>
        <w:t>国土调查成果中的行政区划与境界、地类图斑、道路、水系、注记等；</w:t>
      </w:r>
    </w:p>
    <w:p w14:paraId="34ADA9FF">
      <w:pPr>
        <w:pStyle w:val="132"/>
      </w:pPr>
      <w:r>
        <w:rPr>
          <w:rFonts w:hint="eastAsia"/>
        </w:rPr>
        <w:t>高分辨率遥感影像。</w:t>
      </w:r>
    </w:p>
    <w:p w14:paraId="5D449790">
      <w:pPr>
        <w:pStyle w:val="65"/>
        <w:spacing w:before="156" w:after="156"/>
      </w:pPr>
      <w:bookmarkStart w:id="110" w:name="_Toc85813618"/>
      <w:bookmarkStart w:id="111" w:name="_Toc85812001"/>
      <w:bookmarkStart w:id="112" w:name="_Toc119310703"/>
      <w:bookmarkStart w:id="113" w:name="_Toc454060873"/>
      <w:bookmarkStart w:id="114" w:name="_Toc459358164"/>
      <w:bookmarkStart w:id="115" w:name="_Toc136352420"/>
      <w:r>
        <w:rPr>
          <w:rFonts w:hint="eastAsia"/>
        </w:rPr>
        <w:t>预划</w:t>
      </w:r>
      <w:bookmarkEnd w:id="110"/>
      <w:bookmarkEnd w:id="111"/>
      <w:bookmarkEnd w:id="112"/>
      <w:r>
        <w:rPr>
          <w:rFonts w:hint="eastAsia"/>
        </w:rPr>
        <w:t>规则</w:t>
      </w:r>
      <w:bookmarkEnd w:id="113"/>
      <w:bookmarkEnd w:id="114"/>
      <w:bookmarkEnd w:id="115"/>
    </w:p>
    <w:p w14:paraId="2A8B0C15">
      <w:pPr>
        <w:pStyle w:val="56"/>
        <w:ind w:firstLine="420"/>
      </w:pPr>
      <w:r>
        <w:rPr>
          <w:rFonts w:hint="eastAsia"/>
        </w:rPr>
        <w:t>水流登记单元依据国土调查成果和水资源专项调查成果，以河湖管理范围线为基础，结合水利工程管理范围、设计洪水位线、最高洪水位线、堤防、水域岸线等情况，以及与自然保护地范围、农村集体土地所有权界线、合法建设项目用地审批范围线等相交情况，以河流、湖泊、水库为单位划定登记单元。</w:t>
      </w:r>
    </w:p>
    <w:p w14:paraId="704D3D58">
      <w:pPr>
        <w:pStyle w:val="164"/>
      </w:pPr>
      <w:r>
        <w:rPr>
          <w:rFonts w:hint="eastAsia"/>
        </w:rPr>
        <w:t>有河湖管理范围的，按以下方法处理：</w:t>
      </w:r>
    </w:p>
    <w:p w14:paraId="66B707FA">
      <w:pPr>
        <w:pStyle w:val="132"/>
      </w:pPr>
      <w:r>
        <w:rPr>
          <w:rFonts w:hint="eastAsia"/>
        </w:rPr>
        <w:t>河湖管理范围内，没有集体土地、不存在合法建设项目，无论有、无堤防，均直接以河湖管理范围线作为登记单元界线（图1）；</w:t>
      </w:r>
    </w:p>
    <w:p w14:paraId="2C3E29D2">
      <w:pPr>
        <w:pStyle w:val="132"/>
        <w:numPr>
          <w:ilvl w:val="0"/>
          <w:numId w:val="0"/>
        </w:numPr>
        <w:jc w:val="center"/>
      </w:pPr>
    </w:p>
    <w:p w14:paraId="5D1F5276">
      <w:pPr>
        <w:pStyle w:val="132"/>
        <w:numPr>
          <w:ilvl w:val="0"/>
          <w:numId w:val="0"/>
        </w:numPr>
        <w:jc w:val="center"/>
      </w:pPr>
      <w:r>
        <w:drawing>
          <wp:inline distT="0" distB="0" distL="0" distR="0">
            <wp:extent cx="3599815" cy="2024380"/>
            <wp:effectExtent l="0" t="0" r="635" b="0"/>
            <wp:docPr id="6350215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021570"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600000" cy="2024946"/>
                    </a:xfrm>
                    <a:prstGeom prst="rect">
                      <a:avLst/>
                    </a:prstGeom>
                    <a:noFill/>
                    <a:ln>
                      <a:noFill/>
                    </a:ln>
                  </pic:spPr>
                </pic:pic>
              </a:graphicData>
            </a:graphic>
          </wp:inline>
        </w:drawing>
      </w:r>
    </w:p>
    <w:p w14:paraId="35DF92E4">
      <w:pPr>
        <w:pStyle w:val="132"/>
        <w:numPr>
          <w:ilvl w:val="0"/>
          <w:numId w:val="0"/>
        </w:numPr>
        <w:jc w:val="center"/>
        <w:rPr>
          <w:highlight w:val="yellow"/>
        </w:rPr>
      </w:pPr>
      <w:r>
        <w:rPr>
          <w:rFonts w:hint="eastAsia"/>
        </w:rPr>
        <w:t>图1</w:t>
      </w:r>
      <w:r>
        <w:t xml:space="preserve"> </w:t>
      </w:r>
      <w:r>
        <w:rPr>
          <w:rFonts w:hint="eastAsia"/>
        </w:rPr>
        <w:t>有河湖管理范围情形</w:t>
      </w:r>
    </w:p>
    <w:p w14:paraId="7A84FAC1">
      <w:pPr>
        <w:pStyle w:val="132"/>
      </w:pPr>
      <w:r>
        <w:rPr>
          <w:rFonts w:hint="eastAsia"/>
        </w:rPr>
        <w:t>河湖管理范围内存在集体土地、合法建设项目的，当集体土地所有权界线、合法建设项目用地审批范围线与河湖管理范围线相交时，相交的部分以河湖管理范围线内侧的所有权界线、用地审批范围线作为登记单元界线（桥梁、拦水坝等水工建筑除外）（图2）。当集体土地的所有权界线、合法建设项目的用地审批范围线完全位于河湖管理范围内时，以河湖管理范围线作为登记单元界线（图3）。</w:t>
      </w:r>
    </w:p>
    <w:p w14:paraId="307EFB6E">
      <w:pPr>
        <w:pStyle w:val="132"/>
        <w:numPr>
          <w:ilvl w:val="0"/>
          <w:numId w:val="0"/>
        </w:numPr>
        <w:jc w:val="center"/>
      </w:pPr>
      <w:r>
        <w:drawing>
          <wp:inline distT="0" distB="0" distL="0" distR="0">
            <wp:extent cx="3599815" cy="2021205"/>
            <wp:effectExtent l="0" t="0" r="635" b="0"/>
            <wp:docPr id="141991773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917739" name="图片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00000" cy="2021205"/>
                    </a:xfrm>
                    <a:prstGeom prst="rect">
                      <a:avLst/>
                    </a:prstGeom>
                    <a:noFill/>
                    <a:ln>
                      <a:noFill/>
                    </a:ln>
                  </pic:spPr>
                </pic:pic>
              </a:graphicData>
            </a:graphic>
          </wp:inline>
        </w:drawing>
      </w:r>
    </w:p>
    <w:p w14:paraId="327629E6">
      <w:pPr>
        <w:pStyle w:val="132"/>
        <w:numPr>
          <w:ilvl w:val="0"/>
          <w:numId w:val="0"/>
        </w:numPr>
        <w:jc w:val="center"/>
      </w:pPr>
      <w:r>
        <w:rPr>
          <w:rFonts w:hint="eastAsia"/>
        </w:rPr>
        <w:t>图2</w:t>
      </w:r>
      <w:r>
        <w:t xml:space="preserve"> </w:t>
      </w:r>
      <w:r>
        <w:rPr>
          <w:rFonts w:hint="eastAsia"/>
        </w:rPr>
        <w:t>有河湖管理范围且与集体土地、合法建设项目相交情形</w:t>
      </w:r>
    </w:p>
    <w:p w14:paraId="1105CA36">
      <w:pPr>
        <w:pStyle w:val="132"/>
        <w:numPr>
          <w:ilvl w:val="0"/>
          <w:numId w:val="0"/>
        </w:numPr>
        <w:jc w:val="center"/>
      </w:pPr>
      <w:r>
        <w:drawing>
          <wp:inline distT="0" distB="0" distL="0" distR="0">
            <wp:extent cx="3599815" cy="2021205"/>
            <wp:effectExtent l="0" t="0" r="635" b="0"/>
            <wp:docPr id="190843803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8438038"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600000" cy="2021205"/>
                    </a:xfrm>
                    <a:prstGeom prst="rect">
                      <a:avLst/>
                    </a:prstGeom>
                    <a:noFill/>
                    <a:ln>
                      <a:noFill/>
                    </a:ln>
                  </pic:spPr>
                </pic:pic>
              </a:graphicData>
            </a:graphic>
          </wp:inline>
        </w:drawing>
      </w:r>
    </w:p>
    <w:p w14:paraId="071FD29E">
      <w:pPr>
        <w:pStyle w:val="132"/>
        <w:numPr>
          <w:ilvl w:val="0"/>
          <w:numId w:val="0"/>
        </w:numPr>
        <w:jc w:val="center"/>
      </w:pPr>
      <w:r>
        <w:rPr>
          <w:rFonts w:hint="eastAsia"/>
        </w:rPr>
        <w:t>图3</w:t>
      </w:r>
      <w:r>
        <w:t xml:space="preserve"> </w:t>
      </w:r>
      <w:r>
        <w:rPr>
          <w:rFonts w:hint="eastAsia"/>
        </w:rPr>
        <w:t>有河湖管理范围但不与集体土地、合法建设项目相交情形</w:t>
      </w:r>
    </w:p>
    <w:p w14:paraId="1CF5D7C5">
      <w:pPr>
        <w:pStyle w:val="164"/>
      </w:pPr>
      <w:r>
        <w:rPr>
          <w:rFonts w:hint="eastAsia"/>
        </w:rPr>
        <w:t>无河湖管理范围的，按以下方法处理：</w:t>
      </w:r>
    </w:p>
    <w:p w14:paraId="72B83DF3">
      <w:pPr>
        <w:pStyle w:val="132"/>
      </w:pPr>
      <w:r>
        <w:rPr>
          <w:rFonts w:hint="eastAsia"/>
        </w:rPr>
        <w:t>有堤防的，以国土调查水工建筑用地图斑确定的堤防背水侧堤脚线作为登记单元界线（图4）；</w:t>
      </w:r>
    </w:p>
    <w:p w14:paraId="3129082E">
      <w:pPr>
        <w:pStyle w:val="132"/>
        <w:numPr>
          <w:ilvl w:val="0"/>
          <w:numId w:val="0"/>
        </w:numPr>
        <w:jc w:val="center"/>
      </w:pPr>
      <w:r>
        <w:drawing>
          <wp:inline distT="0" distB="0" distL="0" distR="0">
            <wp:extent cx="3599815" cy="2021205"/>
            <wp:effectExtent l="0" t="0" r="635" b="0"/>
            <wp:docPr id="84236952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369528" name="图片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600000" cy="2021205"/>
                    </a:xfrm>
                    <a:prstGeom prst="rect">
                      <a:avLst/>
                    </a:prstGeom>
                    <a:noFill/>
                    <a:ln>
                      <a:noFill/>
                    </a:ln>
                  </pic:spPr>
                </pic:pic>
              </a:graphicData>
            </a:graphic>
          </wp:inline>
        </w:drawing>
      </w:r>
    </w:p>
    <w:p w14:paraId="2D944B9F">
      <w:pPr>
        <w:pStyle w:val="132"/>
        <w:numPr>
          <w:ilvl w:val="0"/>
          <w:numId w:val="0"/>
        </w:numPr>
        <w:jc w:val="center"/>
      </w:pPr>
      <w:r>
        <w:rPr>
          <w:rFonts w:hint="eastAsia"/>
        </w:rPr>
        <w:t>图4</w:t>
      </w:r>
      <w:r>
        <w:t xml:space="preserve"> </w:t>
      </w:r>
      <w:r>
        <w:rPr>
          <w:rFonts w:hint="eastAsia"/>
        </w:rPr>
        <w:t>无河湖管理范围但有堤防情形</w:t>
      </w:r>
    </w:p>
    <w:p w14:paraId="30935CD0">
      <w:pPr>
        <w:pStyle w:val="132"/>
      </w:pPr>
      <w:r>
        <w:rPr>
          <w:rFonts w:hint="eastAsia"/>
        </w:rPr>
        <w:t>无堤防的，以最高洪水位或设计洪水位线两者之间的最小范围线作为登记单元界线。当“最小范围线”与集体土地的所有权界线、合法建设项目的用地审批范围线相交时，相交的部分以“最小范围线”内侧的所有权界线、用地审批范围线作为登记单元界线（桥梁、拦水坝等水工建筑除外）（图5）。</w:t>
      </w:r>
    </w:p>
    <w:p w14:paraId="04055CE0">
      <w:pPr>
        <w:pStyle w:val="132"/>
        <w:numPr>
          <w:ilvl w:val="0"/>
          <w:numId w:val="0"/>
        </w:numPr>
        <w:jc w:val="center"/>
      </w:pPr>
      <w:r>
        <w:drawing>
          <wp:inline distT="0" distB="0" distL="0" distR="0">
            <wp:extent cx="3599815" cy="2021205"/>
            <wp:effectExtent l="0" t="0" r="635" b="0"/>
            <wp:docPr id="109154098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540987" name="图片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00000" cy="2021205"/>
                    </a:xfrm>
                    <a:prstGeom prst="rect">
                      <a:avLst/>
                    </a:prstGeom>
                    <a:noFill/>
                    <a:ln>
                      <a:noFill/>
                    </a:ln>
                  </pic:spPr>
                </pic:pic>
              </a:graphicData>
            </a:graphic>
          </wp:inline>
        </w:drawing>
      </w:r>
    </w:p>
    <w:p w14:paraId="089703FF">
      <w:pPr>
        <w:pStyle w:val="132"/>
        <w:numPr>
          <w:ilvl w:val="0"/>
          <w:numId w:val="0"/>
        </w:numPr>
        <w:jc w:val="center"/>
      </w:pPr>
      <w:r>
        <w:rPr>
          <w:rFonts w:hint="eastAsia"/>
        </w:rPr>
        <w:t>图5</w:t>
      </w:r>
      <w:r>
        <w:t xml:space="preserve"> </w:t>
      </w:r>
      <w:r>
        <w:rPr>
          <w:rFonts w:hint="eastAsia"/>
        </w:rPr>
        <w:t>无河湖管理范围也无堤防情形</w:t>
      </w:r>
    </w:p>
    <w:p w14:paraId="59473FF9">
      <w:pPr>
        <w:pStyle w:val="164"/>
      </w:pPr>
      <w:r>
        <w:rPr>
          <w:rFonts w:hint="eastAsia"/>
        </w:rPr>
        <w:t>江心洲、江心岛不做特殊处理，一并纳入水流登记单元内。如果江心洲、江心岛上既有落户居民、又有河湖管理范围线或者有堤防的，参照6</w:t>
      </w:r>
      <w:r>
        <w:t>.2.2.1</w:t>
      </w:r>
      <w:r>
        <w:rPr>
          <w:rFonts w:hint="eastAsia"/>
        </w:rPr>
        <w:t>和6</w:t>
      </w:r>
      <w:r>
        <w:t>.2.2.2</w:t>
      </w:r>
      <w:r>
        <w:rPr>
          <w:rFonts w:hint="eastAsia"/>
        </w:rPr>
        <w:t>确定登记单元界线。</w:t>
      </w:r>
    </w:p>
    <w:p w14:paraId="55052075">
      <w:pPr>
        <w:pStyle w:val="164"/>
      </w:pPr>
      <w:r>
        <w:rPr>
          <w:rFonts w:hint="eastAsia"/>
        </w:rPr>
        <w:t>水利工程划界成果（包括水利工程管理范围界线、水利工程保护范围界线）与河湖管理范围线交叉时，水流登记单元界线按以下方法划定：</w:t>
      </w:r>
    </w:p>
    <w:p w14:paraId="1E23BDB4">
      <w:pPr>
        <w:pStyle w:val="132"/>
      </w:pPr>
      <w:r>
        <w:rPr>
          <w:rFonts w:hint="eastAsia"/>
        </w:rPr>
        <w:t>如果水利工程管理范围界线与河湖管理范围界线相交，采用二者范围大者作为登记单元界线；</w:t>
      </w:r>
    </w:p>
    <w:p w14:paraId="53C6B138">
      <w:pPr>
        <w:pStyle w:val="132"/>
      </w:pPr>
      <w:r>
        <w:rPr>
          <w:rFonts w:hint="eastAsia"/>
        </w:rPr>
        <w:t>如果水利工程保护范围界线与河湖管理范围界线相交，采用河湖管理范围线作为登记单元界线。</w:t>
      </w:r>
    </w:p>
    <w:p w14:paraId="1BF78BF3">
      <w:pPr>
        <w:pStyle w:val="164"/>
      </w:pPr>
      <w:r>
        <w:rPr>
          <w:rFonts w:hint="eastAsia"/>
        </w:rPr>
        <w:t>预划登记单元界线时，与城镇开发边界、生态保护红线、永久基本农田、公园绿地等相交时，一般无需避让。当河湖管理范围线与集体土地所有权界线或其他合法建设项目（桥梁、拦水坝等水工建筑除外）用地审批范围线相交时做以下处理：</w:t>
      </w:r>
    </w:p>
    <w:p w14:paraId="3E501C13">
      <w:pPr>
        <w:pStyle w:val="132"/>
      </w:pPr>
      <w:r>
        <w:rPr>
          <w:rFonts w:hint="eastAsia"/>
        </w:rPr>
        <w:t>有堤防时，集体土地所有权界线或合法建设项目用地审批范围线未超过堤防的，以河湖管理范围线内侧集体土地所有权界线或合法建设项目用地审批范围线作为登记单元界线（图</w:t>
      </w:r>
      <w:r>
        <w:t>6</w:t>
      </w:r>
      <w:r>
        <w:rPr>
          <w:rFonts w:hint="eastAsia"/>
        </w:rPr>
        <w:t>）；集体土地所有权界线或合法建设项目用地审批范围线与堤防交叉或超过堤防的，则以堤防背水侧堤脚线作为登记单元界线（图</w:t>
      </w:r>
      <w:r>
        <w:t>7</w:t>
      </w:r>
      <w:r>
        <w:rPr>
          <w:rFonts w:hint="eastAsia"/>
        </w:rPr>
        <w:t>）；</w:t>
      </w:r>
    </w:p>
    <w:p w14:paraId="03CE7B7E">
      <w:pPr>
        <w:pStyle w:val="132"/>
        <w:numPr>
          <w:ilvl w:val="0"/>
          <w:numId w:val="0"/>
        </w:numPr>
        <w:jc w:val="center"/>
      </w:pPr>
      <w:r>
        <w:drawing>
          <wp:inline distT="0" distB="0" distL="0" distR="0">
            <wp:extent cx="3599815" cy="2020570"/>
            <wp:effectExtent l="0" t="0" r="635" b="0"/>
            <wp:docPr id="161816902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169028" name="图片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600000" cy="2021200"/>
                    </a:xfrm>
                    <a:prstGeom prst="rect">
                      <a:avLst/>
                    </a:prstGeom>
                    <a:noFill/>
                    <a:ln>
                      <a:noFill/>
                    </a:ln>
                  </pic:spPr>
                </pic:pic>
              </a:graphicData>
            </a:graphic>
          </wp:inline>
        </w:drawing>
      </w:r>
    </w:p>
    <w:p w14:paraId="773F8AC2">
      <w:pPr>
        <w:pStyle w:val="132"/>
        <w:numPr>
          <w:ilvl w:val="0"/>
          <w:numId w:val="0"/>
        </w:numPr>
        <w:jc w:val="center"/>
      </w:pPr>
      <w:r>
        <w:rPr>
          <w:rFonts w:hint="eastAsia"/>
        </w:rPr>
        <w:t>图</w:t>
      </w:r>
      <w:r>
        <w:t xml:space="preserve">6 </w:t>
      </w:r>
      <w:r>
        <w:rPr>
          <w:rFonts w:hint="eastAsia"/>
        </w:rPr>
        <w:t>有堤防但未与集体土地、合法建设项目相交情形</w:t>
      </w:r>
    </w:p>
    <w:p w14:paraId="605BEA29">
      <w:pPr>
        <w:pStyle w:val="132"/>
        <w:numPr>
          <w:ilvl w:val="0"/>
          <w:numId w:val="0"/>
        </w:numPr>
        <w:jc w:val="center"/>
      </w:pPr>
      <w:r>
        <w:drawing>
          <wp:inline distT="0" distB="0" distL="0" distR="0">
            <wp:extent cx="3599815" cy="2021205"/>
            <wp:effectExtent l="0" t="0" r="635" b="0"/>
            <wp:docPr id="39452646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526460" name="图片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600000" cy="2021205"/>
                    </a:xfrm>
                    <a:prstGeom prst="rect">
                      <a:avLst/>
                    </a:prstGeom>
                    <a:noFill/>
                    <a:ln>
                      <a:noFill/>
                    </a:ln>
                  </pic:spPr>
                </pic:pic>
              </a:graphicData>
            </a:graphic>
          </wp:inline>
        </w:drawing>
      </w:r>
    </w:p>
    <w:p w14:paraId="13D205A8">
      <w:pPr>
        <w:pStyle w:val="132"/>
        <w:numPr>
          <w:ilvl w:val="0"/>
          <w:numId w:val="0"/>
        </w:numPr>
        <w:jc w:val="center"/>
      </w:pPr>
      <w:r>
        <w:rPr>
          <w:rFonts w:hint="eastAsia"/>
        </w:rPr>
        <w:t>图</w:t>
      </w:r>
      <w:r>
        <w:t xml:space="preserve">7 </w:t>
      </w:r>
      <w:r>
        <w:rPr>
          <w:rFonts w:hint="eastAsia"/>
        </w:rPr>
        <w:t>有堤防且与集体土地、合法建设项目相交情形</w:t>
      </w:r>
    </w:p>
    <w:p w14:paraId="76A0AC03">
      <w:pPr>
        <w:pStyle w:val="132"/>
      </w:pPr>
      <w:r>
        <w:rPr>
          <w:rFonts w:hint="eastAsia"/>
        </w:rPr>
        <w:t>无堤防时，当集体土地所有权界线或合法建设项目用地审批范围线与最高洪水位线和设计洪水位线两者间最小范围线未交叉的，以河湖管理范围线内侧集体土地所有权界线或合法建设项目用地审批范围线作为登记单元界线（图</w:t>
      </w:r>
      <w:r>
        <w:t>8</w:t>
      </w:r>
      <w:r>
        <w:rPr>
          <w:rFonts w:hint="eastAsia"/>
        </w:rPr>
        <w:t>）；反之农村集体土地所有权界线或合法建设项目用地审批范围线与“最小范围线”交叉的，则以“最小范围线”作为登记单元界线（图</w:t>
      </w:r>
      <w:r>
        <w:t>9</w:t>
      </w:r>
      <w:r>
        <w:rPr>
          <w:rFonts w:hint="eastAsia"/>
        </w:rPr>
        <w:t>）。</w:t>
      </w:r>
    </w:p>
    <w:p w14:paraId="587461D1">
      <w:pPr>
        <w:pStyle w:val="132"/>
        <w:numPr>
          <w:ilvl w:val="0"/>
          <w:numId w:val="0"/>
        </w:numPr>
        <w:jc w:val="center"/>
      </w:pPr>
      <w:r>
        <w:drawing>
          <wp:inline distT="0" distB="0" distL="0" distR="0">
            <wp:extent cx="3599815" cy="2021205"/>
            <wp:effectExtent l="0" t="0" r="635" b="0"/>
            <wp:docPr id="135797600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976002" name="图片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600000" cy="2021205"/>
                    </a:xfrm>
                    <a:prstGeom prst="rect">
                      <a:avLst/>
                    </a:prstGeom>
                    <a:noFill/>
                    <a:ln>
                      <a:noFill/>
                    </a:ln>
                  </pic:spPr>
                </pic:pic>
              </a:graphicData>
            </a:graphic>
          </wp:inline>
        </w:drawing>
      </w:r>
    </w:p>
    <w:p w14:paraId="33946658">
      <w:pPr>
        <w:pStyle w:val="132"/>
        <w:numPr>
          <w:ilvl w:val="0"/>
          <w:numId w:val="0"/>
        </w:numPr>
        <w:jc w:val="center"/>
      </w:pPr>
      <w:r>
        <w:rPr>
          <w:rFonts w:hint="eastAsia"/>
        </w:rPr>
        <w:t>图</w:t>
      </w:r>
      <w:r>
        <w:t xml:space="preserve">8 </w:t>
      </w:r>
      <w:r>
        <w:rPr>
          <w:rFonts w:hint="eastAsia"/>
        </w:rPr>
        <w:t>无堤防也未与集体土地、合法建设项目相交情形</w:t>
      </w:r>
    </w:p>
    <w:p w14:paraId="68F56DE2">
      <w:pPr>
        <w:pStyle w:val="132"/>
        <w:numPr>
          <w:ilvl w:val="0"/>
          <w:numId w:val="0"/>
        </w:numPr>
        <w:jc w:val="center"/>
      </w:pPr>
      <w:r>
        <w:drawing>
          <wp:inline distT="0" distB="0" distL="0" distR="0">
            <wp:extent cx="3599815" cy="2021205"/>
            <wp:effectExtent l="0" t="0" r="635" b="0"/>
            <wp:docPr id="29229968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299687" name="图片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00000" cy="2021205"/>
                    </a:xfrm>
                    <a:prstGeom prst="rect">
                      <a:avLst/>
                    </a:prstGeom>
                    <a:noFill/>
                    <a:ln>
                      <a:noFill/>
                    </a:ln>
                  </pic:spPr>
                </pic:pic>
              </a:graphicData>
            </a:graphic>
          </wp:inline>
        </w:drawing>
      </w:r>
    </w:p>
    <w:p w14:paraId="4BD83240">
      <w:pPr>
        <w:pStyle w:val="132"/>
        <w:numPr>
          <w:ilvl w:val="0"/>
          <w:numId w:val="0"/>
        </w:numPr>
        <w:jc w:val="center"/>
      </w:pPr>
      <w:r>
        <w:rPr>
          <w:rFonts w:hint="eastAsia"/>
        </w:rPr>
        <w:t>图</w:t>
      </w:r>
      <w:r>
        <w:t xml:space="preserve">9 </w:t>
      </w:r>
      <w:r>
        <w:rPr>
          <w:rFonts w:hint="eastAsia"/>
        </w:rPr>
        <w:t>无堤防但与集体土地、合法建设项目相交情形</w:t>
      </w:r>
    </w:p>
    <w:p w14:paraId="603C4F2D">
      <w:pPr>
        <w:pStyle w:val="164"/>
      </w:pPr>
      <w:r>
        <w:rPr>
          <w:rFonts w:hint="eastAsia"/>
        </w:rPr>
        <w:t>水流与自然保护地审批管理范围界线交叉重叠时，水流登记单元界线按以下方法划定：</w:t>
      </w:r>
    </w:p>
    <w:p w14:paraId="1F6333A8">
      <w:pPr>
        <w:pStyle w:val="132"/>
      </w:pPr>
      <w:r>
        <w:rPr>
          <w:rFonts w:hint="eastAsia"/>
        </w:rPr>
        <w:t>国家公园与水流交叉重叠时，优先保证国家公园登记单元的完整性；</w:t>
      </w:r>
    </w:p>
    <w:p w14:paraId="15C628E8">
      <w:pPr>
        <w:pStyle w:val="132"/>
      </w:pPr>
      <w:r>
        <w:rPr>
          <w:rFonts w:hint="eastAsia"/>
        </w:rPr>
        <w:t>自然保护区、自然公园主体部分与湘资沅澧“四水”干流在空间上交叉重叠的，自然保护区、自然公园可以不单独划分登记单元，与所在干流合并划分登记单元（图</w:t>
      </w:r>
      <w:r>
        <w:t>10</w:t>
      </w:r>
      <w:r>
        <w:rPr>
          <w:rFonts w:hint="eastAsia"/>
        </w:rPr>
        <w:t>）；</w:t>
      </w:r>
    </w:p>
    <w:p w14:paraId="005E5846">
      <w:pPr>
        <w:pStyle w:val="132"/>
        <w:numPr>
          <w:ilvl w:val="0"/>
          <w:numId w:val="0"/>
        </w:numPr>
        <w:jc w:val="center"/>
      </w:pPr>
      <w:r>
        <w:drawing>
          <wp:inline distT="0" distB="0" distL="0" distR="0">
            <wp:extent cx="3599815" cy="2021205"/>
            <wp:effectExtent l="0" t="0" r="635" b="0"/>
            <wp:docPr id="665781010" name="图片 1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781010" name="图片 17" descr="图示&#10;&#10;描述已自动生成"/>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00000" cy="2021205"/>
                    </a:xfrm>
                    <a:prstGeom prst="rect">
                      <a:avLst/>
                    </a:prstGeom>
                    <a:noFill/>
                    <a:ln>
                      <a:noFill/>
                    </a:ln>
                  </pic:spPr>
                </pic:pic>
              </a:graphicData>
            </a:graphic>
          </wp:inline>
        </w:drawing>
      </w:r>
    </w:p>
    <w:p w14:paraId="2E3781BF">
      <w:pPr>
        <w:pStyle w:val="132"/>
        <w:numPr>
          <w:ilvl w:val="0"/>
          <w:numId w:val="0"/>
        </w:numPr>
        <w:jc w:val="center"/>
      </w:pPr>
      <w:r>
        <w:rPr>
          <w:rFonts w:hint="eastAsia"/>
        </w:rPr>
        <w:t>图</w:t>
      </w:r>
      <w:r>
        <w:t xml:space="preserve">10 </w:t>
      </w:r>
      <w:r>
        <w:rPr>
          <w:rFonts w:hint="eastAsia"/>
        </w:rPr>
        <w:t>合并划分登记单元情形</w:t>
      </w:r>
    </w:p>
    <w:p w14:paraId="5E1C92A0">
      <w:pPr>
        <w:pStyle w:val="132"/>
      </w:pPr>
      <w:r>
        <w:rPr>
          <w:rFonts w:hint="eastAsia"/>
        </w:rPr>
        <w:t>自然保护区、自然公园仅有少部分与湘资沅澧“四水”干流在空间上交叉重叠的，优先划分湘资沅澧“四水”干流登记单元（图</w:t>
      </w:r>
      <w:r>
        <w:t>11</w:t>
      </w:r>
      <w:r>
        <w:rPr>
          <w:rFonts w:hint="eastAsia"/>
        </w:rPr>
        <w:t>）；</w:t>
      </w:r>
    </w:p>
    <w:p w14:paraId="2E7474F6">
      <w:pPr>
        <w:pStyle w:val="132"/>
        <w:numPr>
          <w:ilvl w:val="0"/>
          <w:numId w:val="0"/>
        </w:numPr>
        <w:jc w:val="center"/>
      </w:pPr>
      <w:r>
        <w:drawing>
          <wp:inline distT="0" distB="0" distL="0" distR="0">
            <wp:extent cx="3599815" cy="2021205"/>
            <wp:effectExtent l="0" t="0" r="635" b="0"/>
            <wp:docPr id="1691057974" name="图片 1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057974" name="图片 18" descr="图示&#10;&#10;描述已自动生成"/>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600000" cy="2021205"/>
                    </a:xfrm>
                    <a:prstGeom prst="rect">
                      <a:avLst/>
                    </a:prstGeom>
                    <a:noFill/>
                    <a:ln>
                      <a:noFill/>
                    </a:ln>
                  </pic:spPr>
                </pic:pic>
              </a:graphicData>
            </a:graphic>
          </wp:inline>
        </w:drawing>
      </w:r>
    </w:p>
    <w:p w14:paraId="0E3695B5">
      <w:pPr>
        <w:pStyle w:val="132"/>
        <w:numPr>
          <w:ilvl w:val="0"/>
          <w:numId w:val="0"/>
        </w:numPr>
        <w:jc w:val="center"/>
      </w:pPr>
      <w:r>
        <w:rPr>
          <w:rFonts w:hint="eastAsia"/>
        </w:rPr>
        <w:t>图</w:t>
      </w:r>
      <w:r>
        <w:t xml:space="preserve">11 </w:t>
      </w:r>
      <w:r>
        <w:rPr>
          <w:rFonts w:hint="eastAsia"/>
        </w:rPr>
        <w:t>优先划分“四水”干流登记单元情形</w:t>
      </w:r>
    </w:p>
    <w:p w14:paraId="1839208A">
      <w:pPr>
        <w:pStyle w:val="132"/>
      </w:pPr>
      <w:r>
        <w:rPr>
          <w:rFonts w:hint="eastAsia"/>
        </w:rPr>
        <w:t>湘资沅澧“四水”干流以外的水流穿过国家批准的自然保护地登记单元时，保持自然保护地登记单元的完整性；穿过非国家批准的自然保护地登记单元时，结合实际保护情况，尽量保持重要河流生态空间单元的完整性；穿过其他类型登记单元时，保持水流登记单元的完整性。</w:t>
      </w:r>
    </w:p>
    <w:p w14:paraId="0054FDE3">
      <w:pPr>
        <w:pStyle w:val="105"/>
        <w:spacing w:before="156" w:after="156"/>
      </w:pPr>
      <w:bookmarkStart w:id="116" w:name="_Toc136415234"/>
      <w:bookmarkStart w:id="117" w:name="_Toc145916771"/>
      <w:r>
        <w:rPr>
          <w:rFonts w:hint="eastAsia"/>
        </w:rPr>
        <w:t>通告</w:t>
      </w:r>
      <w:bookmarkEnd w:id="116"/>
      <w:bookmarkEnd w:id="117"/>
    </w:p>
    <w:p w14:paraId="09748B6E">
      <w:pPr>
        <w:pStyle w:val="56"/>
        <w:ind w:firstLine="420"/>
      </w:pPr>
      <w:r>
        <w:rPr>
          <w:rFonts w:hint="eastAsia"/>
        </w:rPr>
        <w:t>通告应由登记机构制作并盖章，在登记机构网站、自然资源所在的市县人民政府网站发布，在自然资源所在的乡镇（街道）、行政村（社区）的群众活动相对集中地点张贴，并对每一张贴处拍摄远、近景照片各一张，以乡镇（街道）为单位整理提交登记机构。</w:t>
      </w:r>
    </w:p>
    <w:p w14:paraId="62080199">
      <w:pPr>
        <w:pStyle w:val="56"/>
        <w:ind w:firstLine="420"/>
      </w:pPr>
      <w:r>
        <w:rPr>
          <w:rFonts w:hint="eastAsia"/>
        </w:rPr>
        <w:t>通告样式按照</w:t>
      </w:r>
      <w:r>
        <w:t>DB43</w:t>
      </w:r>
      <w:r>
        <w:rPr>
          <w:rFonts w:hint="eastAsia"/>
        </w:rPr>
        <w:t>/</w:t>
      </w:r>
      <w:r>
        <w:t>T 2642</w:t>
      </w:r>
      <w:r>
        <w:rPr>
          <w:rFonts w:hint="eastAsia"/>
        </w:rPr>
        <w:t>-</w:t>
      </w:r>
      <w:r>
        <w:t>2023</w:t>
      </w:r>
      <w:r>
        <w:rPr>
          <w:rFonts w:hint="eastAsia"/>
        </w:rPr>
        <w:t>有关要求执行。</w:t>
      </w:r>
    </w:p>
    <w:p w14:paraId="478EA8D8">
      <w:pPr>
        <w:pStyle w:val="104"/>
        <w:spacing w:before="312" w:after="312"/>
      </w:pPr>
      <w:bookmarkStart w:id="118" w:name="_Toc917148691"/>
      <w:bookmarkStart w:id="119" w:name="_Toc119310705"/>
      <w:bookmarkStart w:id="120" w:name="_Toc136356911"/>
      <w:bookmarkStart w:id="121" w:name="_Toc136352422"/>
      <w:bookmarkStart w:id="122" w:name="_Toc136415235"/>
      <w:bookmarkStart w:id="123" w:name="_Toc1246901102"/>
      <w:bookmarkStart w:id="124" w:name="_Toc145916772"/>
      <w:r>
        <w:rPr>
          <w:rFonts w:hint="eastAsia"/>
        </w:rPr>
        <w:t>地籍调查</w:t>
      </w:r>
      <w:bookmarkEnd w:id="118"/>
      <w:bookmarkEnd w:id="119"/>
      <w:bookmarkEnd w:id="120"/>
      <w:bookmarkEnd w:id="121"/>
      <w:bookmarkEnd w:id="122"/>
      <w:bookmarkEnd w:id="123"/>
      <w:bookmarkEnd w:id="124"/>
    </w:p>
    <w:p w14:paraId="6966DD84">
      <w:pPr>
        <w:pStyle w:val="105"/>
        <w:spacing w:before="156" w:after="156"/>
      </w:pPr>
      <w:bookmarkStart w:id="125" w:name="_Toc136356912"/>
      <w:bookmarkStart w:id="126" w:name="_Toc136352423"/>
      <w:bookmarkStart w:id="127" w:name="_Toc145916773"/>
      <w:bookmarkStart w:id="128" w:name="_Toc119310706"/>
      <w:bookmarkStart w:id="129" w:name="_Toc286905493"/>
      <w:bookmarkStart w:id="130" w:name="_Toc136415236"/>
      <w:bookmarkStart w:id="131" w:name="_Toc1872382203"/>
      <w:r>
        <w:rPr>
          <w:rFonts w:hint="eastAsia"/>
        </w:rPr>
        <w:t>权属信息提取</w:t>
      </w:r>
      <w:bookmarkEnd w:id="125"/>
      <w:bookmarkEnd w:id="126"/>
      <w:bookmarkEnd w:id="127"/>
      <w:bookmarkEnd w:id="128"/>
      <w:bookmarkEnd w:id="129"/>
      <w:bookmarkEnd w:id="130"/>
      <w:bookmarkEnd w:id="131"/>
    </w:p>
    <w:p w14:paraId="0D874C1D">
      <w:pPr>
        <w:pStyle w:val="65"/>
        <w:spacing w:before="156" w:after="156"/>
      </w:pPr>
      <w:r>
        <w:rPr>
          <w:rFonts w:hint="eastAsia"/>
        </w:rPr>
        <w:t>提取方法</w:t>
      </w:r>
    </w:p>
    <w:p w14:paraId="33B2C028">
      <w:pPr>
        <w:pStyle w:val="56"/>
        <w:ind w:firstLine="420"/>
      </w:pPr>
      <w:r>
        <w:rPr>
          <w:rFonts w:hint="eastAsia"/>
        </w:rPr>
        <w:t>叠加以下数据，提取登记单元范围内各类自然资源的所有权界线、权利主体等信息，形成基础权属状况图层：</w:t>
      </w:r>
    </w:p>
    <w:p w14:paraId="6493E840">
      <w:pPr>
        <w:pStyle w:val="132"/>
      </w:pPr>
      <w:r>
        <w:rPr>
          <w:rFonts w:hint="eastAsia"/>
        </w:rPr>
        <w:t>集体土地所有权、国有土地使用权、林权等各类不动产确权登记成果；</w:t>
      </w:r>
    </w:p>
    <w:p w14:paraId="289AD432">
      <w:pPr>
        <w:pStyle w:val="132"/>
      </w:pPr>
      <w:r>
        <w:rPr>
          <w:rFonts w:hint="eastAsia"/>
        </w:rPr>
        <w:t>人民政府出具的权属争议处理决定书、人民法院生效的有关权属判决书等权属证明资料；</w:t>
      </w:r>
    </w:p>
    <w:p w14:paraId="53C68DBA">
      <w:pPr>
        <w:pStyle w:val="132"/>
      </w:pPr>
      <w:r>
        <w:rPr>
          <w:rFonts w:hint="eastAsia"/>
        </w:rPr>
        <w:t>水利工程、合法建设项目等征用地批准资料；</w:t>
      </w:r>
    </w:p>
    <w:p w14:paraId="6754EAFA">
      <w:pPr>
        <w:pStyle w:val="132"/>
      </w:pPr>
      <w:r>
        <w:rPr>
          <w:rFonts w:hint="eastAsia"/>
        </w:rPr>
        <w:t>其他因农民集体合并或撤销、行政区划调整、农民集体互换、土地调整等导致集体土地所有权发生变化的证明资料。</w:t>
      </w:r>
    </w:p>
    <w:p w14:paraId="54F86147">
      <w:pPr>
        <w:pStyle w:val="65"/>
        <w:spacing w:before="156" w:after="156"/>
      </w:pPr>
      <w:r>
        <w:rPr>
          <w:rFonts w:hint="eastAsia"/>
        </w:rPr>
        <w:t>形成对照图表</w:t>
      </w:r>
    </w:p>
    <w:p w14:paraId="55F9BD86">
      <w:pPr>
        <w:pStyle w:val="56"/>
        <w:ind w:firstLine="420"/>
      </w:pPr>
      <w:r>
        <w:rPr>
          <w:rFonts w:hint="eastAsia"/>
        </w:rPr>
        <w:t>提取登记单元内各类自然资源所有权权属信息有缺失、不清晰、不一致、明显错误、存在争议、其他疑问等内容，编制自然资源所有权权属状况对照图件和表册，具体包括以下方面：</w:t>
      </w:r>
    </w:p>
    <w:p w14:paraId="35857230">
      <w:pPr>
        <w:pStyle w:val="132"/>
      </w:pPr>
      <w:r>
        <w:rPr>
          <w:rFonts w:hint="eastAsia"/>
        </w:rPr>
        <w:t>不同权属来源资料确认的同一宗自然资源的所有权人不同的情况；</w:t>
      </w:r>
    </w:p>
    <w:p w14:paraId="152B4D6C">
      <w:pPr>
        <w:pStyle w:val="132"/>
      </w:pPr>
      <w:r>
        <w:rPr>
          <w:rFonts w:hint="eastAsia"/>
        </w:rPr>
        <w:t>不同权属来源资料确认的所有权人相同，但权属边界不一致的情况；</w:t>
      </w:r>
    </w:p>
    <w:p w14:paraId="43BE9DE1">
      <w:pPr>
        <w:pStyle w:val="132"/>
      </w:pPr>
      <w:r>
        <w:rPr>
          <w:rFonts w:hint="eastAsia"/>
        </w:rPr>
        <w:t>已知权属争议的情况；</w:t>
      </w:r>
    </w:p>
    <w:p w14:paraId="5A330DBF">
      <w:pPr>
        <w:pStyle w:val="132"/>
      </w:pPr>
      <w:r>
        <w:rPr>
          <w:rFonts w:hint="eastAsia"/>
        </w:rPr>
        <w:t>集体土地所有权确权登记成果中指界、权利双方签字等地籍调查手续不完善的情况；</w:t>
      </w:r>
    </w:p>
    <w:p w14:paraId="3846D00C">
      <w:pPr>
        <w:pStyle w:val="132"/>
      </w:pPr>
      <w:r>
        <w:rPr>
          <w:rFonts w:hint="eastAsia"/>
        </w:rPr>
        <w:t>由于不同时期的影像或不同比例尺数据叠加套合等原因，出现权属界线偏移、不套合等情况，且无文字描述权属界线走向的情况；</w:t>
      </w:r>
    </w:p>
    <w:p w14:paraId="33D88A54">
      <w:pPr>
        <w:pStyle w:val="132"/>
      </w:pPr>
      <w:r>
        <w:rPr>
          <w:rFonts w:hint="eastAsia"/>
        </w:rPr>
        <w:t>其他各类自然资源的所有权人及权利信息；</w:t>
      </w:r>
    </w:p>
    <w:p w14:paraId="4ABB7BF3">
      <w:pPr>
        <w:pStyle w:val="132"/>
      </w:pPr>
      <w:r>
        <w:rPr>
          <w:rFonts w:hint="eastAsia"/>
        </w:rPr>
        <w:t>河流被划为集体所有的情况；</w:t>
      </w:r>
    </w:p>
    <w:p w14:paraId="68E10DF3">
      <w:pPr>
        <w:pStyle w:val="132"/>
      </w:pPr>
      <w:r>
        <w:rPr>
          <w:rFonts w:hint="eastAsia"/>
        </w:rPr>
        <w:t>河道被圈占</w:t>
      </w:r>
      <w:bookmarkStart w:id="132" w:name="_Toc85812010"/>
      <w:bookmarkStart w:id="133" w:name="_Toc85813627"/>
      <w:bookmarkStart w:id="134" w:name="_Toc1812589365"/>
      <w:bookmarkStart w:id="135" w:name="_Toc119310707"/>
      <w:bookmarkStart w:id="136" w:name="_Toc136356913"/>
      <w:bookmarkStart w:id="137" w:name="_Toc374455279"/>
      <w:bookmarkStart w:id="138" w:name="_Toc136352424"/>
      <w:r>
        <w:rPr>
          <w:rFonts w:hint="eastAsia"/>
        </w:rPr>
        <w:t>的情况。</w:t>
      </w:r>
    </w:p>
    <w:p w14:paraId="5AA26F85">
      <w:pPr>
        <w:pStyle w:val="105"/>
        <w:spacing w:before="156" w:after="156"/>
      </w:pPr>
      <w:bookmarkStart w:id="139" w:name="_Toc145916774"/>
      <w:r>
        <w:rPr>
          <w:rFonts w:hint="eastAsia"/>
        </w:rPr>
        <w:t>关联信息</w:t>
      </w:r>
      <w:bookmarkEnd w:id="132"/>
      <w:bookmarkEnd w:id="133"/>
      <w:r>
        <w:rPr>
          <w:rFonts w:hint="eastAsia"/>
        </w:rPr>
        <w:t>提取</w:t>
      </w:r>
      <w:bookmarkEnd w:id="134"/>
      <w:bookmarkEnd w:id="135"/>
      <w:bookmarkEnd w:id="136"/>
      <w:bookmarkEnd w:id="137"/>
      <w:bookmarkEnd w:id="138"/>
      <w:bookmarkEnd w:id="139"/>
    </w:p>
    <w:p w14:paraId="0538E763">
      <w:pPr>
        <w:pStyle w:val="65"/>
        <w:spacing w:before="156" w:after="156"/>
      </w:pPr>
      <w:r>
        <w:rPr>
          <w:rFonts w:hint="eastAsia"/>
        </w:rPr>
        <w:t>不动产权利信息提取</w:t>
      </w:r>
    </w:p>
    <w:p w14:paraId="6070D390">
      <w:pPr>
        <w:pStyle w:val="56"/>
        <w:ind w:firstLine="420"/>
      </w:pPr>
      <w:r>
        <w:rPr>
          <w:rFonts w:hint="eastAsia"/>
        </w:rPr>
        <w:t>在不动产登记数据库中，提取登记单元范围内的以下信息：</w:t>
      </w:r>
    </w:p>
    <w:p w14:paraId="3FBE597B">
      <w:pPr>
        <w:pStyle w:val="132"/>
      </w:pPr>
      <w:r>
        <w:rPr>
          <w:rFonts w:hint="eastAsia"/>
        </w:rPr>
        <w:t>不动产的位置信息：空间位置以点状表示；</w:t>
      </w:r>
    </w:p>
    <w:p w14:paraId="0A970904">
      <w:pPr>
        <w:pStyle w:val="132"/>
      </w:pPr>
      <w:r>
        <w:rPr>
          <w:rFonts w:hint="eastAsia"/>
        </w:rPr>
        <w:t>不动产权利信息：不动产单元号、不动产权利类型、不动产权利人、登记时间、登记机构等。</w:t>
      </w:r>
    </w:p>
    <w:p w14:paraId="352733F1">
      <w:pPr>
        <w:pStyle w:val="65"/>
        <w:spacing w:before="156" w:after="156"/>
      </w:pPr>
      <w:r>
        <w:rPr>
          <w:rFonts w:hint="eastAsia"/>
        </w:rPr>
        <w:t>许可信息提取</w:t>
      </w:r>
    </w:p>
    <w:p w14:paraId="0AC94402">
      <w:pPr>
        <w:pStyle w:val="56"/>
        <w:ind w:firstLine="420"/>
      </w:pPr>
      <w:r>
        <w:rPr>
          <w:rFonts w:hint="eastAsia"/>
        </w:rPr>
        <w:t>提取登记单元范围内的取水、排污、矿业权等许可信息：</w:t>
      </w:r>
    </w:p>
    <w:p w14:paraId="43312F8F">
      <w:pPr>
        <w:pStyle w:val="132"/>
      </w:pPr>
      <w:r>
        <w:rPr>
          <w:rFonts w:hint="eastAsia"/>
        </w:rPr>
        <w:t>位置信息：许可信息有具体的坐标点等矢量位置信息，以坐标点上图，并实际核实；没有矢量及坐标信息，实际采点上图。</w:t>
      </w:r>
    </w:p>
    <w:p w14:paraId="7AA1E78B">
      <w:pPr>
        <w:pStyle w:val="132"/>
      </w:pPr>
      <w:r>
        <w:rPr>
          <w:rFonts w:hint="eastAsia"/>
        </w:rPr>
        <w:t>取水许可信息：主要包括取水许可证号、取水权人、取水地点、取水量、有效期限、审批机关；</w:t>
      </w:r>
    </w:p>
    <w:p w14:paraId="3DB4FDE4">
      <w:pPr>
        <w:pStyle w:val="132"/>
      </w:pPr>
      <w:r>
        <w:rPr>
          <w:rFonts w:hint="eastAsia"/>
        </w:rPr>
        <w:t>排污许可信息：主要包括排污许可证号、单位名称、污染物种类、排放浓度限值、有效期限、发证机关；</w:t>
      </w:r>
    </w:p>
    <w:p w14:paraId="5DEC3431">
      <w:pPr>
        <w:pStyle w:val="132"/>
      </w:pPr>
      <w:r>
        <w:rPr>
          <w:rFonts w:hint="eastAsia"/>
        </w:rPr>
        <w:t>矿业权许可信息：主要包括勘查/采矿许可证号、探矿/采矿权人地址、开采矿种、勘查/矿区面积、有效期限、发证机关。</w:t>
      </w:r>
    </w:p>
    <w:p w14:paraId="48F0350F">
      <w:pPr>
        <w:pStyle w:val="65"/>
        <w:spacing w:before="156" w:after="156"/>
      </w:pPr>
      <w:r>
        <w:rPr>
          <w:rFonts w:hint="eastAsia"/>
        </w:rPr>
        <w:t>公共管制信息提取</w:t>
      </w:r>
    </w:p>
    <w:p w14:paraId="0ECDF6C6">
      <w:pPr>
        <w:pStyle w:val="56"/>
        <w:ind w:firstLine="420"/>
      </w:pPr>
      <w:r>
        <w:rPr>
          <w:rFonts w:hint="eastAsia"/>
        </w:rPr>
        <w:t>提取登记单元内的用途管制、生态保护红线、特殊保护规定等管理管制信息，包括区块编号、面积、用途管制和特殊保护规定等内容、划定/设定时间、设置单位等。</w:t>
      </w:r>
    </w:p>
    <w:p w14:paraId="7F3EDAD2">
      <w:pPr>
        <w:pStyle w:val="65"/>
        <w:spacing w:before="156" w:after="156"/>
      </w:pPr>
      <w:r>
        <w:rPr>
          <w:rFonts w:hint="eastAsia"/>
        </w:rPr>
        <w:t>形成关联信息对照表</w:t>
      </w:r>
    </w:p>
    <w:p w14:paraId="46DD0B97">
      <w:pPr>
        <w:pStyle w:val="56"/>
        <w:ind w:firstLine="420"/>
      </w:pPr>
      <w:r>
        <w:rPr>
          <w:rFonts w:hint="eastAsia"/>
        </w:rPr>
        <w:t>形成登记单元内各类关联信息对照表，按照信息所属部门，分为下列情况：</w:t>
      </w:r>
    </w:p>
    <w:p w14:paraId="4FC13DFC">
      <w:pPr>
        <w:pStyle w:val="132"/>
      </w:pPr>
      <w:r>
        <w:rPr>
          <w:rFonts w:hint="eastAsia"/>
        </w:rPr>
        <w:t>生态环境部门：形成排污许可、饮用水源保护区等许可及其他特殊管制信息对照表；</w:t>
      </w:r>
    </w:p>
    <w:p w14:paraId="22BD8138">
      <w:pPr>
        <w:pStyle w:val="132"/>
      </w:pPr>
      <w:r>
        <w:rPr>
          <w:rFonts w:hint="eastAsia"/>
        </w:rPr>
        <w:t>水利部门：形成取水许可及其他特殊管制信息对照表；</w:t>
      </w:r>
    </w:p>
    <w:p w14:paraId="632B2348">
      <w:pPr>
        <w:pStyle w:val="132"/>
      </w:pPr>
      <w:r>
        <w:rPr>
          <w:rFonts w:hint="eastAsia"/>
        </w:rPr>
        <w:t>自然资源部门：形成不动产关联点、勘查和采矿许可信息关联、国土空间规划明确的用途管制信息、永久基本农田等关联信息对照表；</w:t>
      </w:r>
    </w:p>
    <w:p w14:paraId="5234DFC0">
      <w:pPr>
        <w:pStyle w:val="132"/>
      </w:pPr>
      <w:r>
        <w:rPr>
          <w:rFonts w:hint="eastAsia"/>
        </w:rPr>
        <w:t>生态环境、自然资源部门：形成生态保护红线管制信息对照表；</w:t>
      </w:r>
    </w:p>
    <w:p w14:paraId="5124DAE4">
      <w:pPr>
        <w:pStyle w:val="132"/>
      </w:pPr>
      <w:r>
        <w:rPr>
          <w:rFonts w:hint="eastAsia"/>
        </w:rPr>
        <w:t>林业部门：形成自然保护地管制信息对照表；</w:t>
      </w:r>
    </w:p>
    <w:p w14:paraId="627CA65B">
      <w:pPr>
        <w:pStyle w:val="132"/>
      </w:pPr>
      <w:r>
        <w:rPr>
          <w:rFonts w:hint="eastAsia"/>
        </w:rPr>
        <w:t>其他特殊保护规定对照表。</w:t>
      </w:r>
    </w:p>
    <w:p w14:paraId="7D2161D0">
      <w:pPr>
        <w:pStyle w:val="105"/>
        <w:spacing w:before="156" w:after="156"/>
      </w:pPr>
      <w:bookmarkStart w:id="140" w:name="_Toc119310708"/>
      <w:bookmarkStart w:id="141" w:name="_Toc136352425"/>
      <w:bookmarkStart w:id="142" w:name="_Toc2056857547"/>
      <w:bookmarkStart w:id="143" w:name="_Toc136356914"/>
      <w:bookmarkStart w:id="144" w:name="_Toc145916775"/>
      <w:bookmarkStart w:id="145" w:name="_Toc54888906"/>
      <w:bookmarkStart w:id="146" w:name="_Toc136415237"/>
      <w:r>
        <w:rPr>
          <w:rFonts w:hint="eastAsia"/>
        </w:rPr>
        <w:t>信息核实</w:t>
      </w:r>
      <w:bookmarkEnd w:id="140"/>
      <w:bookmarkEnd w:id="141"/>
      <w:bookmarkEnd w:id="142"/>
      <w:bookmarkEnd w:id="143"/>
      <w:bookmarkEnd w:id="144"/>
      <w:bookmarkEnd w:id="145"/>
      <w:bookmarkEnd w:id="146"/>
    </w:p>
    <w:p w14:paraId="1A4EF565">
      <w:pPr>
        <w:pStyle w:val="65"/>
        <w:spacing w:before="156" w:after="156"/>
      </w:pPr>
      <w:r>
        <w:rPr>
          <w:rFonts w:hint="eastAsia"/>
        </w:rPr>
        <w:t>制作工作核实图</w:t>
      </w:r>
    </w:p>
    <w:p w14:paraId="6BCD3F51">
      <w:pPr>
        <w:pStyle w:val="56"/>
        <w:ind w:firstLine="420"/>
      </w:pPr>
      <w:r>
        <w:rPr>
          <w:rFonts w:hint="eastAsia"/>
        </w:rPr>
        <w:t>工作核实图分下列三类：</w:t>
      </w:r>
    </w:p>
    <w:p w14:paraId="7F21F9F0">
      <w:pPr>
        <w:pStyle w:val="132"/>
      </w:pPr>
      <w:r>
        <w:rPr>
          <w:rFonts w:hint="eastAsia"/>
        </w:rPr>
        <w:t>预划工作底图（叠加预划的登记单元界线）；</w:t>
      </w:r>
    </w:p>
    <w:p w14:paraId="51317E96">
      <w:pPr>
        <w:pStyle w:val="132"/>
      </w:pPr>
      <w:r>
        <w:rPr>
          <w:rFonts w:hint="eastAsia"/>
        </w:rPr>
        <w:t>权属状况核实图。可从登记单元全貌和局部两个层面分比例尺制作；</w:t>
      </w:r>
    </w:p>
    <w:p w14:paraId="3A98B341">
      <w:pPr>
        <w:pStyle w:val="132"/>
      </w:pPr>
      <w:r>
        <w:rPr>
          <w:rFonts w:hint="eastAsia"/>
        </w:rPr>
        <w:t>关联信息核实图。</w:t>
      </w:r>
    </w:p>
    <w:p w14:paraId="26E3B686">
      <w:pPr>
        <w:pStyle w:val="94"/>
        <w:spacing w:before="156" w:after="156"/>
      </w:pPr>
      <w:r>
        <w:rPr>
          <w:rFonts w:hint="eastAsia"/>
        </w:rPr>
        <w:t>权属状况核实图</w:t>
      </w:r>
    </w:p>
    <w:p w14:paraId="02B35492">
      <w:pPr>
        <w:pStyle w:val="56"/>
        <w:ind w:firstLine="420"/>
      </w:pPr>
      <w:r>
        <w:rPr>
          <w:rFonts w:hint="eastAsia"/>
        </w:rPr>
        <w:t>权属状况核实图包括以下内容：</w:t>
      </w:r>
    </w:p>
    <w:p w14:paraId="67FAE329">
      <w:pPr>
        <w:pStyle w:val="132"/>
      </w:pPr>
      <w:r>
        <w:rPr>
          <w:rFonts w:hint="eastAsia"/>
        </w:rPr>
        <w:t>遥感影像，必要时可叠加地形图；</w:t>
      </w:r>
    </w:p>
    <w:p w14:paraId="32266E82">
      <w:pPr>
        <w:pStyle w:val="132"/>
      </w:pPr>
      <w:r>
        <w:rPr>
          <w:rFonts w:hint="eastAsia"/>
        </w:rPr>
        <w:t>行政区划与境界、道路、水系、注记等；</w:t>
      </w:r>
    </w:p>
    <w:p w14:paraId="34226F7C">
      <w:pPr>
        <w:pStyle w:val="132"/>
      </w:pPr>
      <w:r>
        <w:rPr>
          <w:rFonts w:hint="eastAsia"/>
        </w:rPr>
        <w:t>农村集体土地所有权、国有土地使用权、林权等确权登记成果；</w:t>
      </w:r>
    </w:p>
    <w:p w14:paraId="24AA79B4">
      <w:pPr>
        <w:pStyle w:val="132"/>
      </w:pPr>
      <w:r>
        <w:rPr>
          <w:rFonts w:hint="eastAsia"/>
        </w:rPr>
        <w:t>各级人民政府权属争议处理决定书、人民法院生效的有关权属判决书等权属来源资料；</w:t>
      </w:r>
    </w:p>
    <w:p w14:paraId="70EFDC51">
      <w:pPr>
        <w:pStyle w:val="132"/>
      </w:pPr>
      <w:r>
        <w:rPr>
          <w:rFonts w:hint="eastAsia"/>
        </w:rPr>
        <w:t>征用地批准资料；</w:t>
      </w:r>
    </w:p>
    <w:p w14:paraId="695BD722">
      <w:pPr>
        <w:pStyle w:val="132"/>
      </w:pPr>
      <w:r>
        <w:rPr>
          <w:rFonts w:hint="eastAsia"/>
        </w:rPr>
        <w:t>其他因农民集体合并或撤销、行政区划调整、农民集体互换、土地调整等导致集体土地所有权发生变化的信息；</w:t>
      </w:r>
    </w:p>
    <w:p w14:paraId="28D74AAE">
      <w:pPr>
        <w:pStyle w:val="132"/>
      </w:pPr>
      <w:r>
        <w:rPr>
          <w:rFonts w:hint="eastAsia"/>
        </w:rPr>
        <w:t>登记单元权属状况全貌图，和需重点核实的所有权权属有缺失、不清晰、不一致、明显错误、存在争议、其他疑问等情形的局部宗地图。</w:t>
      </w:r>
    </w:p>
    <w:p w14:paraId="6FF9715C">
      <w:pPr>
        <w:pStyle w:val="94"/>
        <w:spacing w:before="156" w:after="156"/>
      </w:pPr>
      <w:r>
        <w:rPr>
          <w:rFonts w:hint="eastAsia"/>
        </w:rPr>
        <w:t>关联信息核实图</w:t>
      </w:r>
    </w:p>
    <w:p w14:paraId="1EE6C473">
      <w:pPr>
        <w:pStyle w:val="167"/>
        <w:numPr>
          <w:ilvl w:val="5"/>
          <w:numId w:val="0"/>
        </w:numPr>
        <w:ind w:firstLine="420" w:firstLineChars="200"/>
      </w:pPr>
      <w:r>
        <w:rPr>
          <w:rFonts w:hint="eastAsia"/>
        </w:rPr>
        <w:t>关联信息核实图包括以下内容：</w:t>
      </w:r>
    </w:p>
    <w:p w14:paraId="03DCD6AE">
      <w:pPr>
        <w:pStyle w:val="132"/>
      </w:pPr>
      <w:r>
        <w:rPr>
          <w:rFonts w:hint="eastAsia"/>
        </w:rPr>
        <w:t>遥感影像；</w:t>
      </w:r>
    </w:p>
    <w:p w14:paraId="779D2F4F">
      <w:pPr>
        <w:pStyle w:val="132"/>
      </w:pPr>
      <w:r>
        <w:rPr>
          <w:rFonts w:hint="eastAsia"/>
        </w:rPr>
        <w:t>预划的登记单元界线；</w:t>
      </w:r>
    </w:p>
    <w:p w14:paraId="76F52C53">
      <w:pPr>
        <w:pStyle w:val="132"/>
      </w:pPr>
      <w:r>
        <w:rPr>
          <w:rFonts w:hint="eastAsia"/>
        </w:rPr>
        <w:t>行政区划与境界、道路、水系、注记等；</w:t>
      </w:r>
    </w:p>
    <w:p w14:paraId="1A1D2349">
      <w:pPr>
        <w:pStyle w:val="132"/>
      </w:pPr>
      <w:r>
        <w:rPr>
          <w:rFonts w:hint="eastAsia"/>
        </w:rPr>
        <w:t>各类关联信息的矢量范围线、位置点等矢量成果，以及关联信息的审批机关、审批时间、证件号等注记信息；</w:t>
      </w:r>
    </w:p>
    <w:p w14:paraId="1D5F98FA">
      <w:pPr>
        <w:pStyle w:val="132"/>
      </w:pPr>
      <w:r>
        <w:rPr>
          <w:rFonts w:hint="eastAsia"/>
        </w:rPr>
        <w:t>分部门图件，具体如下：</w:t>
      </w:r>
    </w:p>
    <w:p w14:paraId="24855AEA">
      <w:pPr>
        <w:pStyle w:val="187"/>
      </w:pPr>
      <w:r>
        <w:rPr>
          <w:rFonts w:hint="eastAsia"/>
        </w:rPr>
        <w:t>生态部门：排污许可、饮用水源保护区、生态保护红线等许可及其他特殊管制信息的核实图。</w:t>
      </w:r>
    </w:p>
    <w:p w14:paraId="08F27928">
      <w:pPr>
        <w:pStyle w:val="187"/>
      </w:pPr>
      <w:r>
        <w:rPr>
          <w:rFonts w:hint="eastAsia"/>
        </w:rPr>
        <w:t>水利部门：取水许可及其他特殊管制信息核实图；</w:t>
      </w:r>
    </w:p>
    <w:p w14:paraId="4ED3A9AB">
      <w:pPr>
        <w:pStyle w:val="187"/>
      </w:pPr>
      <w:r>
        <w:rPr>
          <w:rFonts w:hint="eastAsia"/>
        </w:rPr>
        <w:t>自然资源部门：不动产关联点、勘查和采矿许可信息关联、国土空间规划明确的用途管制信息、永久基本农田等关联信息核实图；</w:t>
      </w:r>
    </w:p>
    <w:p w14:paraId="430B7198">
      <w:pPr>
        <w:pStyle w:val="187"/>
      </w:pPr>
      <w:r>
        <w:rPr>
          <w:rFonts w:hint="eastAsia"/>
        </w:rPr>
        <w:t>林业部门：自然保护地等特殊管制信息的核实图；</w:t>
      </w:r>
    </w:p>
    <w:p w14:paraId="5FD5AEB3">
      <w:pPr>
        <w:pStyle w:val="187"/>
      </w:pPr>
      <w:r>
        <w:rPr>
          <w:rFonts w:hint="eastAsia"/>
        </w:rPr>
        <w:t>其他特殊保护规定核实图。</w:t>
      </w:r>
    </w:p>
    <w:p w14:paraId="468D3854">
      <w:pPr>
        <w:pStyle w:val="65"/>
        <w:spacing w:before="156" w:after="156"/>
      </w:pPr>
      <w:bookmarkStart w:id="147" w:name="_Toc85812013"/>
      <w:bookmarkStart w:id="148" w:name="_Toc85813630"/>
      <w:r>
        <w:rPr>
          <w:rFonts w:hint="eastAsia"/>
        </w:rPr>
        <w:t>登记单元界线核实</w:t>
      </w:r>
      <w:bookmarkEnd w:id="147"/>
      <w:bookmarkEnd w:id="148"/>
      <w:r>
        <w:rPr>
          <w:rFonts w:hint="eastAsia"/>
        </w:rPr>
        <w:t>内容及方法</w:t>
      </w:r>
    </w:p>
    <w:p w14:paraId="1D96E167">
      <w:pPr>
        <w:pStyle w:val="56"/>
        <w:ind w:firstLine="420"/>
      </w:pPr>
      <w:r>
        <w:rPr>
          <w:rFonts w:hint="eastAsia"/>
        </w:rPr>
        <w:t>各行政主管部门依职能核实预划登记单元界线所依据的各种资料来源情况是否属实。经核实与实际情况不一致的，通过查阅原始资料，结合影像和实地情况，予以标注并提出纠正建议。</w:t>
      </w:r>
    </w:p>
    <w:p w14:paraId="7D19E123">
      <w:pPr>
        <w:pStyle w:val="132"/>
      </w:pPr>
      <w:r>
        <w:rPr>
          <w:rFonts w:hint="eastAsia"/>
        </w:rPr>
        <w:t>赴水利部门核实登记单元划分所依据的河湖管理范围、水利工程管理范围、设计洪水位线、最高洪水位线、堤防、水域岸线等范围界线是否准确，经水利部门确认无误后签章；</w:t>
      </w:r>
    </w:p>
    <w:p w14:paraId="4E808E61">
      <w:pPr>
        <w:pStyle w:val="132"/>
      </w:pPr>
      <w:r>
        <w:rPr>
          <w:rFonts w:hint="eastAsia"/>
        </w:rPr>
        <w:t>赴自然资源部门核实登记单元划分所依据的农村集体土地所有权界线、合法建设项目用地审批范围等范围界线是否准确，经自然资源部门确认无误后签章；</w:t>
      </w:r>
    </w:p>
    <w:p w14:paraId="0956ACCE">
      <w:pPr>
        <w:pStyle w:val="132"/>
      </w:pPr>
      <w:r>
        <w:rPr>
          <w:rFonts w:hint="eastAsia"/>
        </w:rPr>
        <w:t>赴林业部门核实登记单元划分所依据的自然保护地范围界线是否准确，经林业部门确认无误后签章；</w:t>
      </w:r>
    </w:p>
    <w:p w14:paraId="25ED1AD7">
      <w:pPr>
        <w:pStyle w:val="132"/>
      </w:pPr>
      <w:r>
        <w:rPr>
          <w:rFonts w:hint="eastAsia"/>
        </w:rPr>
        <w:t>赴农业农村部门核实登记单元划分所依据的水产种质保护区范围界线是否准确，经农业农村部门确认无误后签章。</w:t>
      </w:r>
    </w:p>
    <w:p w14:paraId="05E1C34A">
      <w:pPr>
        <w:pStyle w:val="65"/>
        <w:spacing w:before="156" w:after="156"/>
      </w:pPr>
      <w:bookmarkStart w:id="149" w:name="_Toc85813631"/>
      <w:bookmarkStart w:id="150" w:name="_Toc85812014"/>
      <w:r>
        <w:rPr>
          <w:rFonts w:hint="eastAsia"/>
        </w:rPr>
        <w:t>登记单元内权属状况核实</w:t>
      </w:r>
      <w:bookmarkEnd w:id="149"/>
      <w:bookmarkEnd w:id="150"/>
    </w:p>
    <w:p w14:paraId="039C0BAC">
      <w:pPr>
        <w:pStyle w:val="94"/>
        <w:spacing w:before="156" w:after="156"/>
      </w:pPr>
      <w:r>
        <w:rPr>
          <w:rFonts w:hint="eastAsia"/>
        </w:rPr>
        <w:t>核实情形</w:t>
      </w:r>
    </w:p>
    <w:p w14:paraId="6DAA1364">
      <w:pPr>
        <w:pStyle w:val="56"/>
        <w:ind w:firstLine="420"/>
      </w:pPr>
      <w:r>
        <w:rPr>
          <w:rFonts w:hint="eastAsia"/>
        </w:rPr>
        <w:t>对权属状况有缺失、不清晰、不一致、明显错误、存在争议、其他疑问等情形进行核实：</w:t>
      </w:r>
    </w:p>
    <w:p w14:paraId="1ACE3F82">
      <w:pPr>
        <w:pStyle w:val="132"/>
      </w:pPr>
      <w:r>
        <w:rPr>
          <w:rFonts w:hint="eastAsia"/>
        </w:rPr>
        <w:t>农村集体土地所有权确权登记未确权的；</w:t>
      </w:r>
    </w:p>
    <w:p w14:paraId="2B4BCE96">
      <w:pPr>
        <w:pStyle w:val="132"/>
      </w:pPr>
      <w:r>
        <w:rPr>
          <w:rFonts w:hint="eastAsia"/>
        </w:rPr>
        <w:t>农村集体土地所有权确权登记后，由于各级人民政府权属争议处理决定书、人民法院生效的有关权属判决书等形式确认，或土地开发、土地征收、集体兴办企事业或自然灾害等原因进行过土地调整，或农田基本建设和行政区划变动等原因重新划定土地所有权界线等导致所有权发生变化的；</w:t>
      </w:r>
    </w:p>
    <w:p w14:paraId="449C4C90">
      <w:pPr>
        <w:pStyle w:val="132"/>
      </w:pPr>
      <w:r>
        <w:rPr>
          <w:rFonts w:hint="eastAsia"/>
        </w:rPr>
        <w:t>双方有争议，并分别能提供权属证明材料的；</w:t>
      </w:r>
    </w:p>
    <w:p w14:paraId="63900F35">
      <w:pPr>
        <w:pStyle w:val="132"/>
      </w:pPr>
      <w:r>
        <w:rPr>
          <w:rFonts w:hint="eastAsia"/>
        </w:rPr>
        <w:t>同一宗地，集体土地所有权成果、国有土地使用权、林权等其他合法权属来源资料所显示的权利主体、权属边界不一致的；</w:t>
      </w:r>
    </w:p>
    <w:p w14:paraId="2E9AFBAB">
      <w:pPr>
        <w:pStyle w:val="132"/>
      </w:pPr>
      <w:r>
        <w:rPr>
          <w:rFonts w:hint="eastAsia"/>
        </w:rPr>
        <w:t>集体土地所有权确权登记成果发现有明显错误的；</w:t>
      </w:r>
    </w:p>
    <w:p w14:paraId="31677FB9">
      <w:pPr>
        <w:pStyle w:val="132"/>
      </w:pPr>
      <w:r>
        <w:rPr>
          <w:rFonts w:hint="eastAsia"/>
        </w:rPr>
        <w:t>已有权属信息资料，存在不完整，有缺失的；</w:t>
      </w:r>
    </w:p>
    <w:p w14:paraId="6616FB84">
      <w:pPr>
        <w:pStyle w:val="132"/>
      </w:pPr>
      <w:r>
        <w:rPr>
          <w:rFonts w:hint="eastAsia"/>
        </w:rPr>
        <w:t>核实已上图的权属信息与权利人持有的权属资料不一致的；</w:t>
      </w:r>
    </w:p>
    <w:p w14:paraId="7943A974">
      <w:pPr>
        <w:pStyle w:val="132"/>
      </w:pPr>
      <w:r>
        <w:rPr>
          <w:rFonts w:hint="eastAsia"/>
        </w:rPr>
        <w:t>将河流划为农民集体所有的；</w:t>
      </w:r>
    </w:p>
    <w:p w14:paraId="7D0C44CD">
      <w:pPr>
        <w:pStyle w:val="132"/>
      </w:pPr>
      <w:r>
        <w:rPr>
          <w:rFonts w:hint="eastAsia"/>
        </w:rPr>
        <w:t>堤坝临水侧存在村民建房的；</w:t>
      </w:r>
    </w:p>
    <w:p w14:paraId="610D49E1">
      <w:pPr>
        <w:pStyle w:val="132"/>
      </w:pPr>
      <w:r>
        <w:rPr>
          <w:rFonts w:hint="eastAsia"/>
        </w:rPr>
        <w:t>因区划调整、合乡并镇等原因，导致现行政区划范围及名称与原集体土地所有权成果不一致情形；</w:t>
      </w:r>
    </w:p>
    <w:p w14:paraId="4CE7FEB8">
      <w:pPr>
        <w:pStyle w:val="132"/>
      </w:pPr>
      <w:r>
        <w:rPr>
          <w:rFonts w:hint="eastAsia"/>
        </w:rPr>
        <w:t>河道被农民集体、村民等围堰圈占的；</w:t>
      </w:r>
    </w:p>
    <w:p w14:paraId="343F2A25">
      <w:pPr>
        <w:pStyle w:val="132"/>
      </w:pPr>
      <w:r>
        <w:rPr>
          <w:rFonts w:hint="eastAsia"/>
        </w:rPr>
        <w:t>因季节变化河流水面水位不同，导致部分河滩枯水期露出水面，丰水期被水淹没的；</w:t>
      </w:r>
    </w:p>
    <w:p w14:paraId="11101D01">
      <w:pPr>
        <w:pStyle w:val="132"/>
      </w:pPr>
      <w:r>
        <w:rPr>
          <w:rFonts w:hint="eastAsia"/>
        </w:rPr>
        <w:t>内业处理过程中发现的其他疑问。</w:t>
      </w:r>
    </w:p>
    <w:p w14:paraId="69AD69D3">
      <w:pPr>
        <w:pStyle w:val="94"/>
        <w:spacing w:before="156" w:after="156"/>
      </w:pPr>
      <w:r>
        <w:rPr>
          <w:rFonts w:hint="eastAsia"/>
        </w:rPr>
        <w:t>处理方法</w:t>
      </w:r>
    </w:p>
    <w:p w14:paraId="58EA6BC4">
      <w:pPr>
        <w:pStyle w:val="56"/>
        <w:ind w:firstLine="420"/>
      </w:pPr>
      <w:r>
        <w:rPr>
          <w:rFonts w:hint="eastAsia"/>
        </w:rPr>
        <w:t>以自然资源登记单元为单位，采用内外业相结合的方法分情形处理：</w:t>
      </w:r>
    </w:p>
    <w:p w14:paraId="46753C90">
      <w:pPr>
        <w:pStyle w:val="132"/>
      </w:pPr>
      <w:r>
        <w:rPr>
          <w:rFonts w:hint="eastAsia"/>
        </w:rPr>
        <w:t>农村集体土地所有权确权登记时未确权的，按照地籍调查技术要求开展补充调查确定；</w:t>
      </w:r>
    </w:p>
    <w:p w14:paraId="4E33CD1E">
      <w:pPr>
        <w:pStyle w:val="132"/>
      </w:pPr>
      <w:r>
        <w:rPr>
          <w:rFonts w:hint="eastAsia"/>
        </w:rPr>
        <w:t>农村集体土地所有权确权登记后，权属有变化的，依据相关资料调整所有权主体、界线等信息；</w:t>
      </w:r>
    </w:p>
    <w:p w14:paraId="26884DBD">
      <w:pPr>
        <w:pStyle w:val="132"/>
      </w:pPr>
      <w:r>
        <w:rPr>
          <w:rFonts w:hint="eastAsia"/>
        </w:rPr>
        <w:t>双方有争议，并分别能提供权属证明材料的，采取内业判图指界、外业实地核实等方式协商确定权属范围界线。如果协商不成的，划定争议区，填写争议原由书；</w:t>
      </w:r>
    </w:p>
    <w:p w14:paraId="33063558">
      <w:pPr>
        <w:pStyle w:val="132"/>
      </w:pPr>
      <w:r>
        <w:rPr>
          <w:rFonts w:hint="eastAsia"/>
        </w:rPr>
        <w:t>核实发现不同权属来源资料确认的权利主体或范围不一致的，采取内业判图指界、外业实地核实等方式予以协商解决；</w:t>
      </w:r>
    </w:p>
    <w:p w14:paraId="7D266777">
      <w:pPr>
        <w:pStyle w:val="132"/>
      </w:pPr>
      <w:r>
        <w:rPr>
          <w:rFonts w:hint="eastAsia"/>
        </w:rPr>
        <w:t>集体土地所有权确权登记成果发现有明显错误的，依据权属证明材料予以纠正；</w:t>
      </w:r>
    </w:p>
    <w:p w14:paraId="75DB573D">
      <w:pPr>
        <w:pStyle w:val="132"/>
      </w:pPr>
      <w:r>
        <w:rPr>
          <w:rFonts w:hint="eastAsia"/>
        </w:rPr>
        <w:t>各级人民政府权属争议处理决定书、人民法院生效的有关权属判决书等形式予以确认权属的，但与集体土地所有权确权登记成果数据库不一致的，在规定的时间内，当事人未依法申请复议或者提起诉讼，直接以人民政府的处理决定和人民法院的权属判决书为有效确权依据，进行上图入库；</w:t>
      </w:r>
    </w:p>
    <w:p w14:paraId="6DE43BA0">
      <w:pPr>
        <w:pStyle w:val="132"/>
      </w:pPr>
      <w:r>
        <w:rPr>
          <w:rFonts w:hint="eastAsia"/>
        </w:rPr>
        <w:t>森林、林木所有权主体与林地所有权主体不一致。根据《林权证》所载明的森林、林木所有权主体与林地所有权主体分层进行标注；</w:t>
      </w:r>
    </w:p>
    <w:p w14:paraId="20B319B0">
      <w:pPr>
        <w:pStyle w:val="132"/>
      </w:pPr>
      <w:r>
        <w:rPr>
          <w:rFonts w:hint="eastAsia"/>
        </w:rPr>
        <w:t>权属重新确认的，属地登记机构同步开展不动产变更、更正或注销登记。</w:t>
      </w:r>
    </w:p>
    <w:p w14:paraId="1A5CA2C1">
      <w:pPr>
        <w:pStyle w:val="132"/>
      </w:pPr>
      <w:r>
        <w:rPr>
          <w:rFonts w:hint="eastAsia"/>
        </w:rPr>
        <w:t>将河流划为农民集体所有的，在充分收集资料的基础上，分情况进行处理：</w:t>
      </w:r>
    </w:p>
    <w:p w14:paraId="5931EF18">
      <w:pPr>
        <w:pStyle w:val="132"/>
        <w:numPr>
          <w:ilvl w:val="0"/>
          <w:numId w:val="0"/>
        </w:numPr>
        <w:ind w:left="851"/>
      </w:pPr>
      <w:r>
        <w:rPr>
          <w:rFonts w:hint="eastAsia"/>
        </w:rPr>
        <w:t>a）因修建水库、电站等原因导致水位上升、水面外扩，从而导致集体土地被河流淹没。收集水库、水电站的征用地审批资料，并根据审批资料中明确的征地范围确定土地的所有权界线。如果原集体土地被淹没且水库电站并未征收该部分集体土地，由于该被淹没土地事实已无法利用，如该土地所属的农民集体无异议，可调整为国有土地，否则继续保留其为集体土地，但需对此情况进行文字说明并附图，并由集体土地所有权人与水库、电站等所有土地所有权人双方签字认可。</w:t>
      </w:r>
    </w:p>
    <w:p w14:paraId="187C95AF">
      <w:pPr>
        <w:pStyle w:val="132"/>
        <w:numPr>
          <w:ilvl w:val="0"/>
          <w:numId w:val="0"/>
        </w:numPr>
        <w:ind w:left="851"/>
      </w:pPr>
      <w:r>
        <w:rPr>
          <w:rFonts w:hint="eastAsia"/>
        </w:rPr>
        <w:t>b）因原集体土地所有权确权时，错误将河流划为集体所有，重新开展地籍调查调整为国有。</w:t>
      </w:r>
    </w:p>
    <w:p w14:paraId="11BEADC9">
      <w:pPr>
        <w:pStyle w:val="132"/>
        <w:numPr>
          <w:ilvl w:val="0"/>
          <w:numId w:val="0"/>
        </w:numPr>
        <w:ind w:left="851"/>
      </w:pPr>
      <w:r>
        <w:rPr>
          <w:rFonts w:hint="eastAsia"/>
        </w:rPr>
        <w:t>c）因底图、影像等资料的精度原因导致集体土地所有权界线存在微小偏移导致小部分界线落入河流中。需核实原集体土地所有权界线文书中关于界线的文字描述，如果界线文书中清晰地描述了集体土地所有权界线的走向的（例如：以河流堤防、岸线为边界），根据该描述，结合现势遥感影像将所有权界线进行微调，无需重新开展地籍调查，所有权文书和附图不做调整。</w:t>
      </w:r>
    </w:p>
    <w:p w14:paraId="5E8DF0C0">
      <w:pPr>
        <w:pStyle w:val="132"/>
      </w:pPr>
      <w:bookmarkStart w:id="151" w:name="_Toc85813632"/>
      <w:bookmarkStart w:id="152" w:name="_Toc85812015"/>
      <w:r>
        <w:rPr>
          <w:rFonts w:hint="eastAsia"/>
        </w:rPr>
        <w:t>登记单元界线内存在村民建房的，不论该房屋位于临水侧或背水侧，无须对登记单元界线进行调整。如果该房屋已办理不动产登记的，作为关联信息进行处理。</w:t>
      </w:r>
    </w:p>
    <w:p w14:paraId="6F03F511">
      <w:pPr>
        <w:pStyle w:val="132"/>
      </w:pPr>
      <w:r>
        <w:rPr>
          <w:rFonts w:hint="eastAsia"/>
        </w:rPr>
        <w:t>行政区划调整导致地名发生变化的，收集行政区划调整的审批文件，对区划范围和名称进行调整并附说明。无行政区划调整的审批文件，则该地名保持不变。</w:t>
      </w:r>
    </w:p>
    <w:p w14:paraId="6CF37A12">
      <w:pPr>
        <w:pStyle w:val="132"/>
      </w:pPr>
      <w:r>
        <w:rPr>
          <w:rFonts w:hint="eastAsia"/>
        </w:rPr>
        <w:t>河道被农民集体、村民等围堰圈占的，实地调查核实后更正为国有。如果农民集体拒绝签字确认，可收集圈占前若干不同时间段的影像作为佐证材料，并附文字说明，仍将该处调整为国有。</w:t>
      </w:r>
    </w:p>
    <w:p w14:paraId="1C2AEFC3">
      <w:pPr>
        <w:pStyle w:val="132"/>
      </w:pPr>
      <w:r>
        <w:rPr>
          <w:rFonts w:hint="eastAsia"/>
        </w:rPr>
        <w:t>因季节变化河流水面水位不同，导致部分河滩枯水期露出水面，丰水期被水淹没的，实地调查核实，并通过收集历年遥感影像，证实该处确为河流滩涂的，农民集体也无土改等历史权源资料证实该处为集体所有的，调整为国有。如果当地农民集体拒绝签字确认，可收集若干不同时间段的影像（滩涂被水淹没的情形）作为佐证材料，并附文字说明，仍将该滩涂调整为国有。</w:t>
      </w:r>
    </w:p>
    <w:p w14:paraId="050DA1F0">
      <w:pPr>
        <w:pStyle w:val="65"/>
        <w:spacing w:before="156" w:after="156"/>
      </w:pPr>
      <w:r>
        <w:rPr>
          <w:rFonts w:hint="eastAsia"/>
        </w:rPr>
        <w:t>关联信息核实</w:t>
      </w:r>
      <w:bookmarkEnd w:id="151"/>
      <w:bookmarkEnd w:id="152"/>
    </w:p>
    <w:p w14:paraId="2B8F3C80">
      <w:pPr>
        <w:pStyle w:val="94"/>
        <w:spacing w:before="156" w:after="156"/>
      </w:pPr>
      <w:r>
        <w:rPr>
          <w:rFonts w:hint="eastAsia"/>
        </w:rPr>
        <w:t>核实内容</w:t>
      </w:r>
    </w:p>
    <w:p w14:paraId="4D1DDB9E">
      <w:pPr>
        <w:pStyle w:val="56"/>
        <w:ind w:firstLine="420"/>
      </w:pPr>
      <w:r>
        <w:rPr>
          <w:rFonts w:hint="eastAsia"/>
        </w:rPr>
        <w:t>核实是否与主管部门所提供的原始资料一致，提取的信息是否准确完整，位置是否准确，是否有漏提或错提等情况：</w:t>
      </w:r>
    </w:p>
    <w:p w14:paraId="4EDE90D4">
      <w:pPr>
        <w:pStyle w:val="132"/>
      </w:pPr>
      <w:r>
        <w:rPr>
          <w:rFonts w:hint="eastAsia"/>
        </w:rPr>
        <w:t>与生态部门核实排污许可、饮用水源保护区等许可及管制信息；</w:t>
      </w:r>
    </w:p>
    <w:p w14:paraId="33E0714D">
      <w:pPr>
        <w:pStyle w:val="132"/>
      </w:pPr>
      <w:r>
        <w:rPr>
          <w:rFonts w:hint="eastAsia"/>
        </w:rPr>
        <w:t>与水利部门核实取水许可等许可信息；</w:t>
      </w:r>
    </w:p>
    <w:p w14:paraId="7B624E06">
      <w:pPr>
        <w:pStyle w:val="132"/>
      </w:pPr>
      <w:r>
        <w:rPr>
          <w:rFonts w:hint="eastAsia"/>
        </w:rPr>
        <w:t>与自然资源部门核实登记单元内的不动产关联情况、勘查和采矿许可、国土空间规划的用途管制状况、永久基本农田及其他特殊保护规定；</w:t>
      </w:r>
    </w:p>
    <w:p w14:paraId="4C475319">
      <w:pPr>
        <w:pStyle w:val="132"/>
      </w:pPr>
      <w:r>
        <w:rPr>
          <w:rFonts w:hint="eastAsia"/>
        </w:rPr>
        <w:t>与自然资源和生态环境部门核实生态保护红线信息；</w:t>
      </w:r>
    </w:p>
    <w:p w14:paraId="091E3160">
      <w:pPr>
        <w:pStyle w:val="132"/>
      </w:pPr>
      <w:r>
        <w:rPr>
          <w:rFonts w:hint="eastAsia"/>
        </w:rPr>
        <w:t>与林业部门核实自然保护地信息；</w:t>
      </w:r>
    </w:p>
    <w:p w14:paraId="5D6D24C1">
      <w:pPr>
        <w:pStyle w:val="132"/>
      </w:pPr>
      <w:r>
        <w:rPr>
          <w:rFonts w:hint="eastAsia"/>
        </w:rPr>
        <w:t>其他特殊保护规定信息由设立该规定的管理机构核实。</w:t>
      </w:r>
    </w:p>
    <w:p w14:paraId="59285481">
      <w:pPr>
        <w:pStyle w:val="94"/>
        <w:spacing w:before="156" w:after="156"/>
      </w:pPr>
      <w:r>
        <w:rPr>
          <w:rFonts w:hint="eastAsia"/>
        </w:rPr>
        <w:t>处理方法</w:t>
      </w:r>
    </w:p>
    <w:p w14:paraId="71DC07DB">
      <w:pPr>
        <w:pStyle w:val="56"/>
        <w:ind w:firstLine="420"/>
      </w:pPr>
      <w:r>
        <w:rPr>
          <w:rFonts w:hint="eastAsia"/>
        </w:rPr>
        <w:t>发现初步调查成果中的图上位置与实际位置存在偏移的，有错提或漏提的，应予以纠正并标注。</w:t>
      </w:r>
    </w:p>
    <w:p w14:paraId="472EC51A">
      <w:pPr>
        <w:pStyle w:val="105"/>
        <w:spacing w:before="156" w:after="156"/>
      </w:pPr>
      <w:bookmarkStart w:id="153" w:name="_Toc136356915"/>
      <w:bookmarkStart w:id="154" w:name="_Toc898697534"/>
      <w:bookmarkStart w:id="155" w:name="_Toc145916776"/>
      <w:bookmarkStart w:id="156" w:name="_Toc274143642"/>
      <w:bookmarkStart w:id="157" w:name="_Toc136415238"/>
      <w:bookmarkStart w:id="158" w:name="_Toc119310709"/>
      <w:bookmarkStart w:id="159" w:name="_Toc136352426"/>
      <w:r>
        <w:rPr>
          <w:rFonts w:hint="eastAsia"/>
        </w:rPr>
        <w:t>外业补充调查</w:t>
      </w:r>
      <w:bookmarkEnd w:id="153"/>
      <w:bookmarkEnd w:id="154"/>
      <w:bookmarkEnd w:id="155"/>
      <w:bookmarkEnd w:id="156"/>
      <w:bookmarkEnd w:id="157"/>
      <w:bookmarkEnd w:id="158"/>
      <w:bookmarkEnd w:id="159"/>
    </w:p>
    <w:p w14:paraId="45FF1F56">
      <w:pPr>
        <w:pStyle w:val="65"/>
        <w:spacing w:before="156" w:after="156"/>
      </w:pPr>
      <w:r>
        <w:rPr>
          <w:rFonts w:hint="eastAsia"/>
        </w:rPr>
        <w:t>外业补充调查内容</w:t>
      </w:r>
    </w:p>
    <w:p w14:paraId="2B43BE2A">
      <w:pPr>
        <w:pStyle w:val="56"/>
        <w:ind w:firstLine="420"/>
      </w:pPr>
      <w:r>
        <w:rPr>
          <w:rFonts w:hint="eastAsia"/>
        </w:rPr>
        <w:t>对调查成果经进一步核实仍有缺失、不清晰、不一致或者存在争议的进行外业补充调查。</w:t>
      </w:r>
    </w:p>
    <w:p w14:paraId="1D8BCB8C">
      <w:pPr>
        <w:pStyle w:val="65"/>
        <w:spacing w:before="156" w:after="156"/>
      </w:pPr>
      <w:r>
        <w:rPr>
          <w:rFonts w:hint="eastAsia"/>
        </w:rPr>
        <w:t>外业补充调查方法</w:t>
      </w:r>
    </w:p>
    <w:p w14:paraId="329FA9F6">
      <w:pPr>
        <w:pStyle w:val="56"/>
        <w:ind w:firstLine="420"/>
      </w:pPr>
      <w:r>
        <w:rPr>
          <w:rFonts w:hint="eastAsia"/>
        </w:rPr>
        <w:t>采取解析法和图解法相结合的方式，开展实地补充调查，存在权属争议的，按现行权属争议调处政策规定进行调处，经调处，权属争议仍无法解决的，划分权属争议区。</w:t>
      </w:r>
    </w:p>
    <w:p w14:paraId="76A2D43D">
      <w:pPr>
        <w:pStyle w:val="132"/>
        <w:numPr>
          <w:ilvl w:val="0"/>
          <w:numId w:val="0"/>
        </w:numPr>
        <w:ind w:left="851" w:hanging="426"/>
      </w:pPr>
      <w:r>
        <w:rPr>
          <w:rFonts w:hint="eastAsia"/>
        </w:rPr>
        <w:t>对进一步核实仍有不清晰的关联信息，实地提取位置信息。</w:t>
      </w:r>
    </w:p>
    <w:p w14:paraId="709E5A47">
      <w:pPr>
        <w:pStyle w:val="105"/>
        <w:spacing w:before="156" w:after="156"/>
      </w:pPr>
      <w:bookmarkStart w:id="160" w:name="_Toc136415239"/>
      <w:bookmarkStart w:id="161" w:name="_Toc119310710"/>
      <w:bookmarkStart w:id="162" w:name="_Toc85812017"/>
      <w:bookmarkStart w:id="163" w:name="_Toc136356916"/>
      <w:bookmarkStart w:id="164" w:name="_Toc2131467656"/>
      <w:bookmarkStart w:id="165" w:name="_Toc85813634"/>
      <w:bookmarkStart w:id="166" w:name="_Toc136352427"/>
      <w:bookmarkStart w:id="167" w:name="_Toc145916777"/>
      <w:bookmarkStart w:id="168" w:name="_Toc544817332"/>
      <w:r>
        <w:rPr>
          <w:rFonts w:hint="eastAsia"/>
        </w:rPr>
        <w:t>调查成果确认</w:t>
      </w:r>
      <w:bookmarkEnd w:id="160"/>
      <w:bookmarkEnd w:id="161"/>
      <w:bookmarkEnd w:id="162"/>
      <w:bookmarkEnd w:id="163"/>
      <w:bookmarkEnd w:id="164"/>
      <w:bookmarkEnd w:id="165"/>
      <w:bookmarkEnd w:id="166"/>
      <w:bookmarkEnd w:id="167"/>
      <w:bookmarkEnd w:id="168"/>
    </w:p>
    <w:p w14:paraId="0A627044">
      <w:pPr>
        <w:pStyle w:val="165"/>
        <w:numPr>
          <w:ilvl w:val="0"/>
          <w:numId w:val="0"/>
        </w:numPr>
        <w:ind w:firstLine="420" w:firstLineChars="200"/>
        <w:rPr>
          <w:color w:val="0000FF"/>
        </w:rPr>
      </w:pPr>
      <w:r>
        <w:rPr>
          <w:rFonts w:hint="eastAsia"/>
        </w:rPr>
        <w:t>对登记单元界线、登记单元内的权属状况、关联信息核实完成后，由县（市、区）人民政府组织相关部门在调查成果核实表上签章，并由县（市、区）人民政府盖章确认，调查成果核实表见附录</w:t>
      </w:r>
      <w:r>
        <w:t>B</w:t>
      </w:r>
      <w:r>
        <w:rPr>
          <w:rFonts w:hint="eastAsia"/>
          <w:color w:val="0000FF"/>
        </w:rPr>
        <w:t>。</w:t>
      </w:r>
    </w:p>
    <w:p w14:paraId="26ECE49E">
      <w:pPr>
        <w:pStyle w:val="105"/>
        <w:spacing w:before="156" w:after="156"/>
      </w:pPr>
      <w:bookmarkStart w:id="169" w:name="_Toc136356917"/>
      <w:bookmarkStart w:id="170" w:name="_Toc702522610"/>
      <w:bookmarkStart w:id="171" w:name="_Toc722827285"/>
      <w:bookmarkStart w:id="172" w:name="_Toc145916778"/>
      <w:bookmarkStart w:id="173" w:name="_Toc136415240"/>
      <w:bookmarkStart w:id="174" w:name="_Toc136352428"/>
      <w:bookmarkStart w:id="175" w:name="_Toc119310711"/>
      <w:bookmarkStart w:id="176" w:name="_Toc85812018"/>
      <w:bookmarkStart w:id="177" w:name="_Toc85813635"/>
      <w:r>
        <w:rPr>
          <w:rFonts w:hint="eastAsia"/>
        </w:rPr>
        <w:t>划定登记单元</w:t>
      </w:r>
      <w:bookmarkEnd w:id="169"/>
      <w:bookmarkEnd w:id="170"/>
      <w:bookmarkEnd w:id="171"/>
      <w:bookmarkEnd w:id="172"/>
      <w:bookmarkEnd w:id="173"/>
      <w:bookmarkEnd w:id="174"/>
      <w:bookmarkEnd w:id="175"/>
      <w:bookmarkStart w:id="263" w:name="_GoBack"/>
      <w:bookmarkEnd w:id="263"/>
    </w:p>
    <w:bookmarkEnd w:id="176"/>
    <w:bookmarkEnd w:id="177"/>
    <w:p w14:paraId="737FDBF4">
      <w:pPr>
        <w:pStyle w:val="56"/>
        <w:ind w:firstLine="420"/>
      </w:pPr>
      <w:r>
        <w:rPr>
          <w:rFonts w:hint="eastAsia"/>
        </w:rPr>
        <w:t>根据水流登记单元界线的核实情况，最终划定登记单元范围界线。</w:t>
      </w:r>
    </w:p>
    <w:p w14:paraId="0AE6844A">
      <w:pPr>
        <w:pStyle w:val="105"/>
        <w:spacing w:before="156" w:after="156"/>
      </w:pPr>
      <w:bookmarkStart w:id="178" w:name="_Toc136352429"/>
      <w:bookmarkStart w:id="179" w:name="_Toc136415241"/>
      <w:bookmarkStart w:id="180" w:name="_Toc145916779"/>
      <w:bookmarkStart w:id="181" w:name="_Toc136356918"/>
      <w:bookmarkStart w:id="182" w:name="_Toc119310712"/>
      <w:bookmarkStart w:id="183" w:name="_Toc424698620"/>
      <w:bookmarkStart w:id="184" w:name="_Toc868952390"/>
      <w:r>
        <w:rPr>
          <w:rFonts w:hint="eastAsia"/>
        </w:rPr>
        <w:t>自然资源状况信息提取</w:t>
      </w:r>
      <w:bookmarkEnd w:id="178"/>
      <w:bookmarkEnd w:id="179"/>
      <w:bookmarkEnd w:id="180"/>
      <w:bookmarkEnd w:id="181"/>
      <w:bookmarkEnd w:id="182"/>
      <w:bookmarkEnd w:id="183"/>
      <w:bookmarkEnd w:id="184"/>
    </w:p>
    <w:p w14:paraId="727FA2E7">
      <w:pPr>
        <w:pStyle w:val="56"/>
        <w:ind w:firstLine="420"/>
      </w:pPr>
      <w:r>
        <w:rPr>
          <w:rFonts w:hint="eastAsia"/>
        </w:rPr>
        <w:t>以最终确定的登记单元范围为单位，叠加国土资源调查和自然资源专项调查数据，提取登记单元范围内水流、森林、草原、湿地、矿产资源等自然资源的类型、空间分布和数量、质量等信息，及园地、耕地、建设用地等其他资源的空间分布。</w:t>
      </w:r>
    </w:p>
    <w:p w14:paraId="621E5266">
      <w:pPr>
        <w:pStyle w:val="56"/>
        <w:ind w:firstLine="420"/>
      </w:pPr>
      <w:r>
        <w:rPr>
          <w:rFonts w:hint="eastAsia"/>
        </w:rPr>
        <w:t>自然资源状况信息提取按照《自然保护地确权登记技术规范》（</w:t>
      </w:r>
      <w:r>
        <w:t>DB43</w:t>
      </w:r>
      <w:r>
        <w:rPr>
          <w:rFonts w:hint="eastAsia"/>
        </w:rPr>
        <w:t>/</w:t>
      </w:r>
      <w:r>
        <w:t>T 2642</w:t>
      </w:r>
      <w:r>
        <w:rPr>
          <w:rFonts w:hint="eastAsia"/>
        </w:rPr>
        <w:t>-</w:t>
      </w:r>
      <w:r>
        <w:t>2023</w:t>
      </w:r>
      <w:r>
        <w:rPr>
          <w:rFonts w:hint="eastAsia"/>
        </w:rPr>
        <w:t>）有关要求执行。</w:t>
      </w:r>
    </w:p>
    <w:p w14:paraId="6272AA75">
      <w:pPr>
        <w:pStyle w:val="105"/>
        <w:spacing w:before="156" w:after="156"/>
      </w:pPr>
      <w:bookmarkStart w:id="185" w:name="_Toc136415242"/>
      <w:bookmarkStart w:id="186" w:name="_Toc136356919"/>
      <w:bookmarkStart w:id="187" w:name="_Toc1046049917"/>
      <w:bookmarkStart w:id="188" w:name="_Toc145916780"/>
      <w:bookmarkStart w:id="189" w:name="_Toc119310713"/>
      <w:bookmarkStart w:id="190" w:name="_Toc85812019"/>
      <w:bookmarkStart w:id="191" w:name="_Toc136352430"/>
      <w:bookmarkStart w:id="192" w:name="_Toc747968076"/>
      <w:bookmarkStart w:id="193" w:name="_Toc85813636"/>
      <w:r>
        <w:rPr>
          <w:rFonts w:hint="eastAsia"/>
        </w:rPr>
        <w:t>调查成果编制</w:t>
      </w:r>
      <w:bookmarkEnd w:id="185"/>
      <w:bookmarkEnd w:id="186"/>
      <w:bookmarkEnd w:id="187"/>
      <w:bookmarkEnd w:id="188"/>
      <w:bookmarkEnd w:id="189"/>
      <w:bookmarkEnd w:id="190"/>
      <w:bookmarkEnd w:id="191"/>
      <w:bookmarkEnd w:id="192"/>
      <w:bookmarkEnd w:id="193"/>
    </w:p>
    <w:p w14:paraId="2693E97E">
      <w:pPr>
        <w:pStyle w:val="56"/>
        <w:ind w:firstLine="420"/>
      </w:pPr>
      <w:r>
        <w:rPr>
          <w:rFonts w:hint="eastAsia"/>
        </w:rPr>
        <w:t>调查成果编制包括地籍调查表填写，地籍图、登记单元图、专题图等图件编制，地籍调查数据库的建设，技术报告等文字材料的编写，统计表的制作等。</w:t>
      </w:r>
    </w:p>
    <w:p w14:paraId="59BC7417">
      <w:pPr>
        <w:pStyle w:val="104"/>
        <w:spacing w:before="312" w:after="312"/>
      </w:pPr>
      <w:bookmarkStart w:id="194" w:name="_Toc392281128"/>
      <w:bookmarkStart w:id="195" w:name="_Toc1408345818"/>
      <w:bookmarkStart w:id="196" w:name="_Toc85812020"/>
      <w:bookmarkStart w:id="197" w:name="_Toc85813637"/>
      <w:bookmarkStart w:id="198" w:name="_Toc119310714"/>
      <w:bookmarkStart w:id="199" w:name="_Toc145916781"/>
      <w:bookmarkStart w:id="200" w:name="_Toc136415243"/>
      <w:bookmarkStart w:id="201" w:name="_Toc136352431"/>
      <w:bookmarkStart w:id="202" w:name="_Toc136356920"/>
      <w:r>
        <w:rPr>
          <w:rFonts w:hint="eastAsia"/>
        </w:rPr>
        <w:t>审核</w:t>
      </w:r>
      <w:bookmarkEnd w:id="194"/>
      <w:bookmarkEnd w:id="195"/>
      <w:bookmarkEnd w:id="196"/>
      <w:bookmarkEnd w:id="197"/>
      <w:bookmarkEnd w:id="198"/>
      <w:bookmarkEnd w:id="199"/>
      <w:bookmarkEnd w:id="200"/>
      <w:bookmarkEnd w:id="201"/>
      <w:bookmarkEnd w:id="202"/>
    </w:p>
    <w:p w14:paraId="12405636">
      <w:pPr>
        <w:pStyle w:val="105"/>
        <w:spacing w:before="156" w:after="156"/>
      </w:pPr>
      <w:bookmarkStart w:id="203" w:name="_Toc136415244"/>
      <w:bookmarkStart w:id="204" w:name="_Toc136352432"/>
      <w:bookmarkStart w:id="205" w:name="_Toc136356921"/>
      <w:bookmarkStart w:id="206" w:name="_Toc119310715"/>
      <w:bookmarkStart w:id="207" w:name="_Toc786798593"/>
      <w:bookmarkStart w:id="208" w:name="_Toc145916782"/>
      <w:bookmarkStart w:id="209" w:name="_Toc85813638"/>
      <w:bookmarkStart w:id="210" w:name="_Toc85812021"/>
      <w:bookmarkStart w:id="211" w:name="_Toc1894029655"/>
      <w:r>
        <w:rPr>
          <w:rFonts w:hint="eastAsia"/>
        </w:rPr>
        <w:t>审核主体</w:t>
      </w:r>
      <w:bookmarkEnd w:id="203"/>
      <w:bookmarkEnd w:id="204"/>
      <w:bookmarkEnd w:id="205"/>
      <w:bookmarkEnd w:id="206"/>
      <w:bookmarkEnd w:id="207"/>
      <w:bookmarkEnd w:id="208"/>
      <w:bookmarkEnd w:id="209"/>
      <w:bookmarkEnd w:id="210"/>
      <w:bookmarkEnd w:id="211"/>
    </w:p>
    <w:p w14:paraId="32584981">
      <w:pPr>
        <w:pStyle w:val="56"/>
        <w:ind w:firstLine="420"/>
      </w:pPr>
      <w:r>
        <w:rPr>
          <w:rFonts w:hint="eastAsia"/>
        </w:rPr>
        <w:t>登记机构是审核主体。</w:t>
      </w:r>
    </w:p>
    <w:p w14:paraId="6619B14E">
      <w:pPr>
        <w:pStyle w:val="105"/>
        <w:spacing w:before="156" w:after="156"/>
      </w:pPr>
      <w:bookmarkStart w:id="212" w:name="_Toc119310716"/>
      <w:bookmarkStart w:id="213" w:name="_Toc136415245"/>
      <w:bookmarkStart w:id="214" w:name="_Toc136352433"/>
      <w:bookmarkStart w:id="215" w:name="_Toc773867328"/>
      <w:bookmarkStart w:id="216" w:name="_Toc85812022"/>
      <w:bookmarkStart w:id="217" w:name="_Toc145916783"/>
      <w:bookmarkStart w:id="218" w:name="_Toc136356922"/>
      <w:bookmarkStart w:id="219" w:name="_Toc1022830039"/>
      <w:bookmarkStart w:id="220" w:name="_Toc85813639"/>
      <w:r>
        <w:rPr>
          <w:rFonts w:hint="eastAsia"/>
        </w:rPr>
        <w:t>审核内容</w:t>
      </w:r>
      <w:bookmarkEnd w:id="212"/>
      <w:bookmarkEnd w:id="213"/>
      <w:bookmarkEnd w:id="214"/>
      <w:bookmarkEnd w:id="215"/>
      <w:bookmarkEnd w:id="216"/>
      <w:bookmarkEnd w:id="217"/>
      <w:bookmarkEnd w:id="218"/>
      <w:bookmarkEnd w:id="219"/>
      <w:bookmarkEnd w:id="220"/>
    </w:p>
    <w:p w14:paraId="6BDEB025">
      <w:pPr>
        <w:pStyle w:val="65"/>
        <w:spacing w:before="156" w:after="156"/>
      </w:pPr>
      <w:r>
        <w:rPr>
          <w:rFonts w:hint="eastAsia"/>
        </w:rPr>
        <w:t>地理信息审核</w:t>
      </w:r>
    </w:p>
    <w:p w14:paraId="7CD352CD">
      <w:pPr>
        <w:pStyle w:val="56"/>
        <w:ind w:firstLine="420"/>
      </w:pPr>
      <w:r>
        <w:rPr>
          <w:rFonts w:hint="eastAsia"/>
        </w:rPr>
        <w:t>拟公告的内容中属于重要地理信息数据的，应当履行相应重要地理信息审核程序。如有依照国家地图管理法律法规应当送审的地图内容，应履行地图审核程序。</w:t>
      </w:r>
    </w:p>
    <w:p w14:paraId="45EDA62B">
      <w:pPr>
        <w:pStyle w:val="65"/>
        <w:spacing w:before="156" w:after="156"/>
      </w:pPr>
      <w:r>
        <w:rPr>
          <w:rFonts w:hint="eastAsia"/>
        </w:rPr>
        <w:t>程序性审核</w:t>
      </w:r>
    </w:p>
    <w:p w14:paraId="323E1E70">
      <w:pPr>
        <w:pStyle w:val="56"/>
        <w:ind w:firstLine="420"/>
      </w:pPr>
      <w:r>
        <w:rPr>
          <w:rFonts w:hint="eastAsia"/>
        </w:rPr>
        <w:t>审核是否按照登记程序开展，地籍调查是否按照相关技术要求开展，程序是否合法、是否符合相关技术规范、调查范围是否准确等。</w:t>
      </w:r>
    </w:p>
    <w:p w14:paraId="4AC24F51">
      <w:pPr>
        <w:pStyle w:val="65"/>
        <w:spacing w:before="156" w:after="156"/>
      </w:pPr>
      <w:r>
        <w:rPr>
          <w:rFonts w:hint="eastAsia"/>
        </w:rPr>
        <w:t>资料齐全性审核</w:t>
      </w:r>
    </w:p>
    <w:p w14:paraId="4A9709F3">
      <w:pPr>
        <w:pStyle w:val="56"/>
        <w:ind w:firstLine="420"/>
      </w:pPr>
      <w:r>
        <w:rPr>
          <w:rFonts w:hint="eastAsia"/>
        </w:rPr>
        <w:t>审核各类登记材料是否齐全，是否有效。主要包括以下方面：</w:t>
      </w:r>
    </w:p>
    <w:p w14:paraId="19C4A30A">
      <w:pPr>
        <w:pStyle w:val="132"/>
      </w:pPr>
      <w:r>
        <w:rPr>
          <w:rFonts w:hint="eastAsia"/>
        </w:rPr>
        <w:t>各类原始材料是否来源于相应的资源管理部门；</w:t>
      </w:r>
    </w:p>
    <w:p w14:paraId="7C24A3C2">
      <w:pPr>
        <w:pStyle w:val="132"/>
      </w:pPr>
      <w:r>
        <w:rPr>
          <w:rFonts w:hint="eastAsia"/>
        </w:rPr>
        <w:t>权属材料是否合法有效，指界、签字、界址点、界址线测量成果等资料是否齐全；</w:t>
      </w:r>
    </w:p>
    <w:p w14:paraId="49E35D84">
      <w:pPr>
        <w:pStyle w:val="132"/>
      </w:pPr>
      <w:r>
        <w:rPr>
          <w:rFonts w:hint="eastAsia"/>
        </w:rPr>
        <w:t>相关资料是否经过县级人民政府或其授权机构的核实；</w:t>
      </w:r>
    </w:p>
    <w:p w14:paraId="7F215E80">
      <w:pPr>
        <w:pStyle w:val="132"/>
      </w:pPr>
      <w:r>
        <w:rPr>
          <w:rFonts w:hint="eastAsia"/>
        </w:rPr>
        <w:t>提交的地籍调查成果是否齐全，是否符合汇交要求。</w:t>
      </w:r>
    </w:p>
    <w:p w14:paraId="79BA9D63">
      <w:pPr>
        <w:pStyle w:val="65"/>
        <w:spacing w:before="156" w:after="156"/>
      </w:pPr>
      <w:r>
        <w:rPr>
          <w:rFonts w:hint="eastAsia"/>
        </w:rPr>
        <w:t>登记单元范围审核</w:t>
      </w:r>
    </w:p>
    <w:p w14:paraId="37B024A2">
      <w:pPr>
        <w:pStyle w:val="56"/>
        <w:ind w:firstLine="420"/>
      </w:pPr>
      <w:r>
        <w:rPr>
          <w:rFonts w:hint="eastAsia"/>
        </w:rPr>
        <w:t>审核登记单元的划分是否符合要求，是否按照划分的登记单元开展调查，登记单元界线是否明确，登记单元界线与相邻要素（图斑线、权属界、行政界、管理界等）的处理方式是否正确，是否符合登记单元划分要求。</w:t>
      </w:r>
    </w:p>
    <w:p w14:paraId="2BE0B308">
      <w:pPr>
        <w:pStyle w:val="65"/>
        <w:spacing w:before="156" w:after="156"/>
      </w:pPr>
      <w:r>
        <w:rPr>
          <w:rFonts w:hint="eastAsia"/>
        </w:rPr>
        <w:t>权属审核</w:t>
      </w:r>
    </w:p>
    <w:p w14:paraId="28B312F6">
      <w:pPr>
        <w:pStyle w:val="132"/>
        <w:numPr>
          <w:ilvl w:val="0"/>
          <w:numId w:val="0"/>
        </w:numPr>
        <w:ind w:left="425"/>
      </w:pPr>
      <w:r>
        <w:rPr>
          <w:rFonts w:hint="eastAsia"/>
        </w:rPr>
        <w:t>权属审核包括下列内容：</w:t>
      </w:r>
    </w:p>
    <w:p w14:paraId="1A665D57">
      <w:pPr>
        <w:pStyle w:val="132"/>
      </w:pPr>
      <w:r>
        <w:rPr>
          <w:rFonts w:hint="eastAsia"/>
        </w:rPr>
        <w:t>审核权属来源资料是否合法有效，对登记单元内存在权属有缺失、不清晰、不一致、明显错误、存在争议、有疑问的是否进行了实地补充调查，权属调查是否符合相关技术规范的要求，是否划清了全民所有和集体所有之间的边界、划清了不同集体所有者的边界，界线范围是否清晰；</w:t>
      </w:r>
    </w:p>
    <w:p w14:paraId="7D825C11">
      <w:pPr>
        <w:pStyle w:val="132"/>
      </w:pPr>
      <w:r>
        <w:rPr>
          <w:rFonts w:hint="eastAsia"/>
        </w:rPr>
        <w:t>存在权属争议的，是否已调处；暂时无法调处的争议，是否合理划分争议区，权属争议区的范围是否明确。相关的争议调处材料或权属争议材料是否齐全并符合要求。</w:t>
      </w:r>
    </w:p>
    <w:p w14:paraId="6F1E20D1">
      <w:pPr>
        <w:pStyle w:val="65"/>
        <w:spacing w:before="156" w:after="156"/>
      </w:pPr>
      <w:r>
        <w:rPr>
          <w:rFonts w:hint="eastAsia"/>
        </w:rPr>
        <w:t>自然状况审核</w:t>
      </w:r>
    </w:p>
    <w:p w14:paraId="6F80BEDE">
      <w:pPr>
        <w:pStyle w:val="56"/>
        <w:ind w:firstLine="420"/>
      </w:pPr>
      <w:r>
        <w:rPr>
          <w:rFonts w:hint="eastAsia"/>
        </w:rPr>
        <w:t>审核登记单元内各类自然资源的数量、质量的技术处理方法是否正确，统计结果是否准确，是否有大面积遗漏或错误。</w:t>
      </w:r>
    </w:p>
    <w:p w14:paraId="3DE1735C">
      <w:pPr>
        <w:pStyle w:val="65"/>
        <w:spacing w:before="156" w:after="156"/>
      </w:pPr>
      <w:r>
        <w:rPr>
          <w:rFonts w:hint="eastAsia"/>
        </w:rPr>
        <w:t>关联性审核</w:t>
      </w:r>
    </w:p>
    <w:p w14:paraId="352188EE">
      <w:pPr>
        <w:pStyle w:val="164"/>
        <w:numPr>
          <w:ilvl w:val="4"/>
          <w:numId w:val="0"/>
        </w:numPr>
        <w:ind w:firstLine="420" w:firstLineChars="200"/>
      </w:pPr>
      <w:r>
        <w:rPr>
          <w:rFonts w:hint="eastAsia"/>
        </w:rPr>
        <w:t>关联性审核包括下列内容：</w:t>
      </w:r>
    </w:p>
    <w:p w14:paraId="363B4B3E">
      <w:pPr>
        <w:pStyle w:val="132"/>
      </w:pPr>
      <w:r>
        <w:rPr>
          <w:rFonts w:hint="eastAsia"/>
        </w:rPr>
        <w:t>审核相关许可、公共管制和不动产权利等关联信息是否落图到位，位置是否准确；</w:t>
      </w:r>
    </w:p>
    <w:p w14:paraId="42BB05D5">
      <w:pPr>
        <w:pStyle w:val="132"/>
      </w:pPr>
      <w:r>
        <w:rPr>
          <w:rFonts w:hint="eastAsia"/>
        </w:rPr>
        <w:t>审核相关信息是否关联到位；</w:t>
      </w:r>
    </w:p>
    <w:p w14:paraId="771CF361">
      <w:pPr>
        <w:pStyle w:val="132"/>
      </w:pPr>
      <w:r>
        <w:rPr>
          <w:rFonts w:hint="eastAsia"/>
        </w:rPr>
        <w:t>是否存在漏提、错提。</w:t>
      </w:r>
    </w:p>
    <w:p w14:paraId="6D09406F">
      <w:pPr>
        <w:pStyle w:val="65"/>
        <w:spacing w:before="156" w:after="156"/>
      </w:pPr>
      <w:r>
        <w:rPr>
          <w:rFonts w:hint="eastAsia"/>
        </w:rPr>
        <w:t>地籍调查数据库审核</w:t>
      </w:r>
    </w:p>
    <w:p w14:paraId="4A194366">
      <w:pPr>
        <w:pStyle w:val="56"/>
        <w:ind w:firstLine="420"/>
      </w:pPr>
      <w:r>
        <w:rPr>
          <w:rFonts w:hint="eastAsia"/>
        </w:rPr>
        <w:t>地籍调查数据库审核包括下列内容：</w:t>
      </w:r>
    </w:p>
    <w:p w14:paraId="600B278C">
      <w:pPr>
        <w:pStyle w:val="132"/>
      </w:pPr>
      <w:r>
        <w:rPr>
          <w:rFonts w:hint="eastAsia"/>
        </w:rPr>
        <w:t>数据完整性检查。检查数据的有效性，能否正常打开；检查数据的完整性，检查空间数据和属性表等是否有遗漏和多余的情况；检查元数据是否符合技术要求；</w:t>
      </w:r>
    </w:p>
    <w:p w14:paraId="3C102513">
      <w:pPr>
        <w:pStyle w:val="132"/>
      </w:pPr>
      <w:r>
        <w:rPr>
          <w:rFonts w:hint="eastAsia"/>
        </w:rPr>
        <w:t>数据正确性检查。检查数据的数据基础是否正确；是否存在拓扑错误；</w:t>
      </w:r>
    </w:p>
    <w:p w14:paraId="743FBC36">
      <w:pPr>
        <w:pStyle w:val="132"/>
      </w:pPr>
      <w:r>
        <w:rPr>
          <w:rFonts w:hint="eastAsia"/>
        </w:rPr>
        <w:t>数据一致性检查。检查数据的结构、代码是否符合数据库标准要求；标识码、单元号、斑块号等编号是否唯一；图表库的各类数据的逻辑性是否一致；数据库与原始资料的数据是否一致；</w:t>
      </w:r>
    </w:p>
    <w:p w14:paraId="3A3CB668">
      <w:pPr>
        <w:pStyle w:val="132"/>
      </w:pPr>
      <w:r>
        <w:rPr>
          <w:rFonts w:hint="eastAsia"/>
        </w:rPr>
        <w:t>数据有效性检查。检查地籍调查表、界址表、调查记事表、调查成果核实表、成果审核表等图表与数据库的数据、界线、位置等是否相符。</w:t>
      </w:r>
    </w:p>
    <w:p w14:paraId="435D7821">
      <w:pPr>
        <w:pStyle w:val="104"/>
        <w:spacing w:before="312" w:after="312"/>
      </w:pPr>
      <w:bookmarkStart w:id="221" w:name="_Toc1176942997"/>
      <w:bookmarkStart w:id="222" w:name="_Toc136352434"/>
      <w:bookmarkStart w:id="223" w:name="_Toc119310717"/>
      <w:bookmarkStart w:id="224" w:name="_Toc136356923"/>
      <w:bookmarkStart w:id="225" w:name="_Toc136415246"/>
      <w:bookmarkStart w:id="226" w:name="_Toc85813640"/>
      <w:bookmarkStart w:id="227" w:name="_Toc948272628"/>
      <w:bookmarkStart w:id="228" w:name="_Toc145916784"/>
      <w:bookmarkStart w:id="229" w:name="_Toc85812023"/>
      <w:r>
        <w:rPr>
          <w:rFonts w:hint="eastAsia"/>
        </w:rPr>
        <w:t>公告</w:t>
      </w:r>
      <w:bookmarkEnd w:id="221"/>
      <w:bookmarkEnd w:id="222"/>
      <w:bookmarkEnd w:id="223"/>
      <w:bookmarkEnd w:id="224"/>
      <w:bookmarkEnd w:id="225"/>
      <w:bookmarkEnd w:id="226"/>
      <w:bookmarkEnd w:id="227"/>
      <w:bookmarkEnd w:id="228"/>
      <w:bookmarkEnd w:id="229"/>
    </w:p>
    <w:p w14:paraId="0F3EF353">
      <w:pPr>
        <w:pStyle w:val="105"/>
        <w:spacing w:before="156" w:after="156"/>
      </w:pPr>
      <w:bookmarkStart w:id="230" w:name="_Toc145916785"/>
      <w:bookmarkStart w:id="231" w:name="_Toc119310718"/>
      <w:bookmarkStart w:id="232" w:name="_Toc1442652435"/>
      <w:bookmarkStart w:id="233" w:name="_Toc136352435"/>
      <w:bookmarkStart w:id="234" w:name="_Toc136356924"/>
      <w:bookmarkStart w:id="235" w:name="_Toc2016824173"/>
      <w:bookmarkStart w:id="236" w:name="_Toc136415247"/>
      <w:r>
        <w:rPr>
          <w:rFonts w:hint="eastAsia"/>
        </w:rPr>
        <w:t>公告要求</w:t>
      </w:r>
      <w:bookmarkEnd w:id="230"/>
      <w:bookmarkEnd w:id="231"/>
      <w:bookmarkEnd w:id="232"/>
      <w:bookmarkEnd w:id="233"/>
      <w:bookmarkEnd w:id="234"/>
      <w:bookmarkEnd w:id="235"/>
      <w:bookmarkEnd w:id="236"/>
    </w:p>
    <w:p w14:paraId="1E34D00E">
      <w:pPr>
        <w:pStyle w:val="56"/>
        <w:ind w:firstLine="420"/>
      </w:pPr>
      <w:r>
        <w:rPr>
          <w:rFonts w:hint="eastAsia"/>
        </w:rPr>
        <w:t>公告应由登记机构制作并盖章，在登记机构网站、自然资源所在地市县人民政府网站发布，在自然资源所在的乡镇（街道）、行政村（社区）的群众活动相对集中地点张贴，公告的自然资源登记单元附图为涉及该县级行政区域的登记单元示意图，在公告上以二维码的形式体现完整的登记单元附图。并对每一张贴处拍摄远、近景照片各一张，以乡镇（街道）为单位整理提交登记机构。</w:t>
      </w:r>
    </w:p>
    <w:p w14:paraId="383A369A">
      <w:pPr>
        <w:pStyle w:val="56"/>
        <w:ind w:firstLine="420"/>
      </w:pPr>
      <w:r>
        <w:rPr>
          <w:rFonts w:hint="eastAsia"/>
        </w:rPr>
        <w:t>公告样式按照D</w:t>
      </w:r>
      <w:r>
        <w:t>B 43</w:t>
      </w:r>
      <w:r>
        <w:rPr>
          <w:rFonts w:hint="eastAsia"/>
        </w:rPr>
        <w:t>/T</w:t>
      </w:r>
      <w:r>
        <w:t xml:space="preserve"> 2642-2023</w:t>
      </w:r>
      <w:r>
        <w:rPr>
          <w:rFonts w:hint="eastAsia"/>
        </w:rPr>
        <w:t>有关要求执行。</w:t>
      </w:r>
    </w:p>
    <w:p w14:paraId="46F51CB0">
      <w:pPr>
        <w:pStyle w:val="105"/>
        <w:spacing w:before="156" w:after="156"/>
      </w:pPr>
      <w:bookmarkStart w:id="237" w:name="_Toc145916786"/>
      <w:bookmarkStart w:id="238" w:name="_Toc43231494"/>
      <w:bookmarkStart w:id="239" w:name="_Toc136352436"/>
      <w:bookmarkStart w:id="240" w:name="_Toc119310719"/>
      <w:bookmarkStart w:id="241" w:name="_Toc136356925"/>
      <w:bookmarkStart w:id="242" w:name="_Toc24310258"/>
      <w:bookmarkStart w:id="243" w:name="_Toc136415248"/>
      <w:r>
        <w:rPr>
          <w:rFonts w:hint="eastAsia"/>
        </w:rPr>
        <w:t>异议处理</w:t>
      </w:r>
      <w:bookmarkEnd w:id="237"/>
      <w:bookmarkEnd w:id="238"/>
      <w:bookmarkEnd w:id="239"/>
      <w:bookmarkEnd w:id="240"/>
      <w:bookmarkEnd w:id="241"/>
      <w:bookmarkEnd w:id="242"/>
      <w:bookmarkEnd w:id="243"/>
    </w:p>
    <w:p w14:paraId="790AF83C">
      <w:pPr>
        <w:pStyle w:val="56"/>
        <w:ind w:firstLine="420"/>
      </w:pPr>
      <w:r>
        <w:rPr>
          <w:rFonts w:hint="eastAsia"/>
        </w:rPr>
        <w:t>公告期间，异议方应以书面方式对自然资源的权属状况向登记机构提出异议，且提供了相关证明材料的，登记机构应当予以核实，经核实异议成立的，对异议内容及时开展调查。登记机构将异议处理的结果书面告知异议方。公告期异议成立的，应对异议内容重新开展地籍调查，并重新公告。</w:t>
      </w:r>
    </w:p>
    <w:p w14:paraId="2638ABA9">
      <w:pPr>
        <w:pStyle w:val="104"/>
        <w:spacing w:before="312" w:after="312"/>
      </w:pPr>
      <w:bookmarkStart w:id="244" w:name="_Toc599906948"/>
      <w:bookmarkStart w:id="245" w:name="_Toc136352437"/>
      <w:bookmarkStart w:id="246" w:name="_Toc30297511"/>
      <w:bookmarkStart w:id="247" w:name="_Toc136356926"/>
      <w:bookmarkStart w:id="248" w:name="_Toc136415249"/>
      <w:bookmarkStart w:id="249" w:name="_Toc145916787"/>
      <w:r>
        <w:rPr>
          <w:rFonts w:hint="eastAsia"/>
        </w:rPr>
        <w:t>登簿</w:t>
      </w:r>
      <w:bookmarkEnd w:id="244"/>
      <w:bookmarkEnd w:id="245"/>
      <w:bookmarkEnd w:id="246"/>
      <w:bookmarkEnd w:id="247"/>
      <w:bookmarkEnd w:id="248"/>
      <w:bookmarkEnd w:id="249"/>
    </w:p>
    <w:p w14:paraId="203D31FF">
      <w:pPr>
        <w:pStyle w:val="105"/>
        <w:spacing w:before="156" w:after="156"/>
      </w:pPr>
      <w:bookmarkStart w:id="250" w:name="_Toc145916788"/>
      <w:bookmarkStart w:id="251" w:name="_Toc258326279"/>
      <w:bookmarkStart w:id="252" w:name="_Toc1086261906"/>
      <w:r>
        <w:rPr>
          <w:rFonts w:hint="eastAsia"/>
        </w:rPr>
        <w:t>登记成果编制</w:t>
      </w:r>
      <w:bookmarkEnd w:id="250"/>
      <w:bookmarkEnd w:id="251"/>
    </w:p>
    <w:p w14:paraId="000948F1">
      <w:pPr>
        <w:pStyle w:val="56"/>
        <w:ind w:firstLine="420"/>
      </w:pPr>
      <w:r>
        <w:rPr>
          <w:rFonts w:hint="eastAsia"/>
        </w:rPr>
        <w:t>以登记单元为单位编制登记成果，包括但不限于：</w:t>
      </w:r>
    </w:p>
    <w:p w14:paraId="2D257658">
      <w:pPr>
        <w:pStyle w:val="132"/>
      </w:pPr>
      <w:r>
        <w:rPr>
          <w:rFonts w:hint="eastAsia"/>
        </w:rPr>
        <w:t>地籍调查成果；</w:t>
      </w:r>
    </w:p>
    <w:p w14:paraId="48FD647B">
      <w:pPr>
        <w:pStyle w:val="132"/>
      </w:pPr>
      <w:r>
        <w:rPr>
          <w:rFonts w:hint="eastAsia"/>
        </w:rPr>
        <w:t>符合国家标准的登记数据库；</w:t>
      </w:r>
    </w:p>
    <w:p w14:paraId="52EF43A4">
      <w:pPr>
        <w:pStyle w:val="132"/>
      </w:pPr>
      <w:r>
        <w:rPr>
          <w:rFonts w:hint="eastAsia"/>
        </w:rPr>
        <w:t>登记单元图；</w:t>
      </w:r>
    </w:p>
    <w:p w14:paraId="46809C42">
      <w:pPr>
        <w:pStyle w:val="132"/>
      </w:pPr>
      <w:r>
        <w:rPr>
          <w:rFonts w:hint="eastAsia"/>
        </w:rPr>
        <w:t>登记单元专题图；</w:t>
      </w:r>
    </w:p>
    <w:p w14:paraId="62FAC9FF">
      <w:pPr>
        <w:pStyle w:val="132"/>
      </w:pPr>
      <w:r>
        <w:rPr>
          <w:rFonts w:hint="eastAsia"/>
        </w:rPr>
        <w:t>工作总结、技术总结等文字材料。</w:t>
      </w:r>
    </w:p>
    <w:p w14:paraId="18986E14">
      <w:pPr>
        <w:pStyle w:val="105"/>
        <w:spacing w:before="156" w:after="156"/>
      </w:pPr>
      <w:bookmarkStart w:id="253" w:name="_Toc145916789"/>
      <w:bookmarkStart w:id="254" w:name="_Toc136415250"/>
      <w:bookmarkStart w:id="255" w:name="_Toc136356928"/>
      <w:bookmarkStart w:id="256" w:name="_Toc136352439"/>
      <w:bookmarkStart w:id="257" w:name="_Toc298595684"/>
      <w:r>
        <w:rPr>
          <w:rFonts w:hint="eastAsia"/>
        </w:rPr>
        <w:t>登簿发证</w:t>
      </w:r>
      <w:bookmarkEnd w:id="252"/>
      <w:bookmarkEnd w:id="253"/>
      <w:bookmarkEnd w:id="254"/>
      <w:bookmarkEnd w:id="255"/>
      <w:bookmarkEnd w:id="256"/>
      <w:bookmarkEnd w:id="257"/>
    </w:p>
    <w:p w14:paraId="06CF0D22">
      <w:pPr>
        <w:pStyle w:val="56"/>
        <w:ind w:firstLine="420"/>
      </w:pPr>
      <w:r>
        <w:rPr>
          <w:rFonts w:hint="eastAsia"/>
        </w:rPr>
        <w:t>公告期满无异议或者异议不成立的，登记机构将登记事项记载于自然资源登记簿，可以颁发自然资源所有权证书。中央委托相关部门或地方政府代理行使所有权的，自然资源所有权证书颁发给受委托的相关部门或地方人民政府。</w:t>
      </w:r>
    </w:p>
    <w:p w14:paraId="7B74132F">
      <w:pPr>
        <w:widowControl/>
        <w:adjustRightInd/>
        <w:spacing w:line="240" w:lineRule="auto"/>
        <w:jc w:val="left"/>
        <w:rPr>
          <w:rFonts w:ascii="宋体" w:hAnsi="Times New Roman"/>
          <w:kern w:val="0"/>
          <w:szCs w:val="20"/>
        </w:rPr>
      </w:pPr>
      <w:r>
        <w:br w:type="page"/>
      </w:r>
    </w:p>
    <w:p w14:paraId="49E8A865">
      <w:pPr>
        <w:pStyle w:val="56"/>
        <w:ind w:firstLine="0" w:firstLineChars="0"/>
        <w:jc w:val="center"/>
        <w:rPr>
          <w:rFonts w:ascii="黑体" w:hAnsi="黑体" w:eastAsia="黑体"/>
        </w:rPr>
      </w:pPr>
      <w:r>
        <w:rPr>
          <w:rFonts w:hint="eastAsia" w:ascii="黑体" w:hAnsi="黑体" w:eastAsia="黑体"/>
        </w:rPr>
        <w:t>参 考 文 献</w:t>
      </w:r>
    </w:p>
    <w:p w14:paraId="4B7A657E">
      <w:pPr>
        <w:pStyle w:val="56"/>
        <w:ind w:firstLine="420"/>
      </w:pPr>
      <w:r>
        <w:t xml:space="preserve">[1] </w:t>
      </w:r>
      <w:r>
        <w:rPr>
          <w:rFonts w:hint="eastAsia"/>
        </w:rPr>
        <w:t>GB/T 148 印刷、书写和绘图纸幅面尺寸</w:t>
      </w:r>
    </w:p>
    <w:p w14:paraId="56A2228E">
      <w:pPr>
        <w:pStyle w:val="56"/>
        <w:ind w:firstLine="420"/>
      </w:pPr>
      <w:r>
        <w:t xml:space="preserve">[2] </w:t>
      </w:r>
      <w:r>
        <w:rPr>
          <w:rFonts w:hint="eastAsia"/>
        </w:rPr>
        <w:t>GB/T 21010 土地利用现状分类</w:t>
      </w:r>
    </w:p>
    <w:p w14:paraId="5D249608">
      <w:pPr>
        <w:pStyle w:val="56"/>
        <w:ind w:firstLine="420"/>
      </w:pPr>
      <w:r>
        <w:t xml:space="preserve">[3] GB/T 42547-2023 </w:t>
      </w:r>
      <w:r>
        <w:rPr>
          <w:rFonts w:hint="eastAsia"/>
        </w:rPr>
        <w:t>地籍调查规程</w:t>
      </w:r>
    </w:p>
    <w:p w14:paraId="12080E74">
      <w:pPr>
        <w:pStyle w:val="56"/>
        <w:ind w:firstLine="420"/>
      </w:pPr>
      <w:r>
        <w:t xml:space="preserve">[4] </w:t>
      </w:r>
      <w:r>
        <w:rPr>
          <w:rFonts w:hint="eastAsia"/>
        </w:rPr>
        <w:t>TD/T 1055 第三次全国国土调查技术规程</w:t>
      </w:r>
    </w:p>
    <w:p w14:paraId="35D34266">
      <w:pPr>
        <w:pStyle w:val="56"/>
        <w:ind w:firstLine="0" w:firstLineChars="0"/>
      </w:pPr>
    </w:p>
    <w:p w14:paraId="390A1A8D">
      <w:pPr>
        <w:pStyle w:val="56"/>
        <w:ind w:firstLine="0" w:firstLineChars="0"/>
      </w:pPr>
    </w:p>
    <w:p w14:paraId="0EEDFC03">
      <w:pPr>
        <w:pStyle w:val="56"/>
        <w:ind w:firstLine="0" w:firstLineChars="0"/>
      </w:pPr>
    </w:p>
    <w:p w14:paraId="0880686D">
      <w:pPr>
        <w:widowControl/>
        <w:adjustRightInd/>
        <w:spacing w:line="240" w:lineRule="auto"/>
        <w:jc w:val="left"/>
        <w:rPr>
          <w:rFonts w:ascii="宋体" w:hAnsi="Times New Roman"/>
          <w:kern w:val="0"/>
          <w:szCs w:val="20"/>
        </w:rPr>
      </w:pPr>
      <w:r>
        <w:br w:type="page"/>
      </w:r>
    </w:p>
    <w:p w14:paraId="3AE19848">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2"/>
    <w:p w14:paraId="4F81A73D">
      <w:pPr>
        <w:pStyle w:val="198"/>
        <w:rPr>
          <w:vanish w:val="0"/>
        </w:rPr>
      </w:pPr>
      <w:bookmarkStart w:id="258" w:name="BookMark5"/>
    </w:p>
    <w:p w14:paraId="6657B5D8">
      <w:pPr>
        <w:pStyle w:val="199"/>
        <w:rPr>
          <w:vanish w:val="0"/>
        </w:rPr>
      </w:pPr>
    </w:p>
    <w:p w14:paraId="3D239986">
      <w:pPr>
        <w:pStyle w:val="76"/>
        <w:spacing w:after="156"/>
      </w:pPr>
      <w:r>
        <w:br w:type="textWrapping"/>
      </w:r>
      <w:bookmarkStart w:id="259" w:name="_Toc136415251"/>
      <w:bookmarkStart w:id="260" w:name="_Toc145916790"/>
      <w:r>
        <w:rPr>
          <w:rFonts w:hint="eastAsia"/>
        </w:rPr>
        <w:t>（资料性）</w:t>
      </w:r>
      <w:r>
        <w:br w:type="textWrapping"/>
      </w:r>
      <w:r>
        <w:rPr>
          <w:rFonts w:hint="eastAsia"/>
        </w:rPr>
        <w:t>资料清单</w:t>
      </w:r>
      <w:bookmarkEnd w:id="259"/>
      <w:bookmarkEnd w:id="260"/>
    </w:p>
    <w:p w14:paraId="1C48DC2E">
      <w:pPr>
        <w:pStyle w:val="77"/>
        <w:numPr>
          <w:ilvl w:val="0"/>
          <w:numId w:val="0"/>
        </w:numPr>
        <w:spacing w:before="156" w:after="156"/>
      </w:pPr>
      <w:r>
        <w:rPr>
          <w:rFonts w:hint="eastAsia"/>
        </w:rPr>
        <w:t>表A</w:t>
      </w:r>
      <w:r>
        <w:t xml:space="preserve">.1 </w:t>
      </w:r>
      <w:r>
        <w:rPr>
          <w:rFonts w:hint="eastAsia"/>
        </w:rPr>
        <w:t>资料清单</w:t>
      </w:r>
    </w:p>
    <w:tbl>
      <w:tblPr>
        <w:tblStyle w:val="27"/>
        <w:tblW w:w="974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94"/>
        <w:gridCol w:w="1459"/>
        <w:gridCol w:w="2073"/>
        <w:gridCol w:w="3204"/>
        <w:gridCol w:w="2519"/>
      </w:tblGrid>
      <w:tr w14:paraId="711029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86" w:hRule="atLeast"/>
          <w:tblHeader/>
          <w:jc w:val="center"/>
        </w:trPr>
        <w:tc>
          <w:tcPr>
            <w:tcW w:w="494" w:type="dxa"/>
            <w:tcBorders>
              <w:top w:val="single" w:color="auto" w:sz="8" w:space="0"/>
              <w:bottom w:val="single" w:color="auto" w:sz="8" w:space="0"/>
            </w:tcBorders>
            <w:shd w:val="clear" w:color="auto" w:fill="auto"/>
            <w:vAlign w:val="center"/>
          </w:tcPr>
          <w:p w14:paraId="1FB93A6B">
            <w:pPr>
              <w:pStyle w:val="56"/>
              <w:spacing w:line="280" w:lineRule="exact"/>
              <w:ind w:firstLine="0" w:firstLineChars="0"/>
              <w:jc w:val="center"/>
              <w:rPr>
                <w:rFonts w:hAnsi="宋体"/>
                <w:bCs/>
                <w:sz w:val="18"/>
                <w:szCs w:val="18"/>
              </w:rPr>
            </w:pPr>
            <w:r>
              <w:rPr>
                <w:rFonts w:hint="eastAsia" w:hAnsi="宋体"/>
                <w:bCs/>
                <w:sz w:val="18"/>
                <w:szCs w:val="18"/>
              </w:rPr>
              <w:t>序号</w:t>
            </w:r>
          </w:p>
        </w:tc>
        <w:tc>
          <w:tcPr>
            <w:tcW w:w="1459" w:type="dxa"/>
            <w:tcBorders>
              <w:top w:val="single" w:color="auto" w:sz="8" w:space="0"/>
              <w:bottom w:val="single" w:color="auto" w:sz="8" w:space="0"/>
            </w:tcBorders>
            <w:shd w:val="clear" w:color="auto" w:fill="auto"/>
            <w:vAlign w:val="center"/>
          </w:tcPr>
          <w:p w14:paraId="1B7DAB01">
            <w:pPr>
              <w:pStyle w:val="56"/>
              <w:spacing w:line="280" w:lineRule="exact"/>
              <w:ind w:firstLine="0" w:firstLineChars="0"/>
              <w:jc w:val="center"/>
              <w:rPr>
                <w:rFonts w:hAnsi="宋体"/>
                <w:bCs/>
                <w:sz w:val="18"/>
                <w:szCs w:val="18"/>
              </w:rPr>
            </w:pPr>
            <w:r>
              <w:rPr>
                <w:rFonts w:hint="eastAsia" w:hAnsi="宋体"/>
                <w:bCs/>
                <w:sz w:val="18"/>
                <w:szCs w:val="18"/>
              </w:rPr>
              <w:t>资料来源</w:t>
            </w:r>
          </w:p>
        </w:tc>
        <w:tc>
          <w:tcPr>
            <w:tcW w:w="2073" w:type="dxa"/>
            <w:tcBorders>
              <w:top w:val="single" w:color="auto" w:sz="8" w:space="0"/>
              <w:bottom w:val="single" w:color="auto" w:sz="8" w:space="0"/>
            </w:tcBorders>
            <w:shd w:val="clear" w:color="auto" w:fill="auto"/>
            <w:vAlign w:val="center"/>
          </w:tcPr>
          <w:p w14:paraId="0A981B64">
            <w:pPr>
              <w:pStyle w:val="56"/>
              <w:spacing w:line="280" w:lineRule="exact"/>
              <w:ind w:firstLine="0" w:firstLineChars="0"/>
              <w:jc w:val="center"/>
              <w:rPr>
                <w:rFonts w:hAnsi="宋体"/>
                <w:bCs/>
                <w:sz w:val="18"/>
                <w:szCs w:val="18"/>
              </w:rPr>
            </w:pPr>
            <w:r>
              <w:rPr>
                <w:rFonts w:hint="eastAsia" w:hAnsi="宋体"/>
                <w:bCs/>
                <w:sz w:val="18"/>
                <w:szCs w:val="18"/>
              </w:rPr>
              <w:t>资料名称</w:t>
            </w:r>
          </w:p>
        </w:tc>
        <w:tc>
          <w:tcPr>
            <w:tcW w:w="3204" w:type="dxa"/>
            <w:tcBorders>
              <w:top w:val="single" w:color="auto" w:sz="8" w:space="0"/>
              <w:bottom w:val="single" w:color="auto" w:sz="8" w:space="0"/>
            </w:tcBorders>
            <w:shd w:val="clear" w:color="auto" w:fill="auto"/>
            <w:vAlign w:val="center"/>
          </w:tcPr>
          <w:p w14:paraId="0EF943BA">
            <w:pPr>
              <w:pStyle w:val="56"/>
              <w:spacing w:line="280" w:lineRule="exact"/>
              <w:ind w:firstLine="0" w:firstLineChars="0"/>
              <w:jc w:val="center"/>
              <w:rPr>
                <w:rFonts w:hAnsi="宋体"/>
                <w:bCs/>
                <w:sz w:val="18"/>
                <w:szCs w:val="18"/>
              </w:rPr>
            </w:pPr>
            <w:r>
              <w:rPr>
                <w:rFonts w:hint="eastAsia" w:hAnsi="宋体"/>
                <w:bCs/>
                <w:sz w:val="18"/>
                <w:szCs w:val="18"/>
              </w:rPr>
              <w:t>资料用途</w:t>
            </w:r>
          </w:p>
        </w:tc>
        <w:tc>
          <w:tcPr>
            <w:tcW w:w="2519" w:type="dxa"/>
            <w:tcBorders>
              <w:top w:val="single" w:color="auto" w:sz="8" w:space="0"/>
              <w:bottom w:val="single" w:color="auto" w:sz="8" w:space="0"/>
            </w:tcBorders>
            <w:shd w:val="clear" w:color="auto" w:fill="auto"/>
            <w:vAlign w:val="center"/>
          </w:tcPr>
          <w:p w14:paraId="1B48DCDA">
            <w:pPr>
              <w:pStyle w:val="56"/>
              <w:spacing w:line="280" w:lineRule="exact"/>
              <w:ind w:firstLine="0" w:firstLineChars="0"/>
              <w:jc w:val="center"/>
              <w:rPr>
                <w:rFonts w:hAnsi="宋体"/>
                <w:bCs/>
                <w:sz w:val="18"/>
                <w:szCs w:val="18"/>
              </w:rPr>
            </w:pPr>
            <w:r>
              <w:rPr>
                <w:rFonts w:hint="eastAsia" w:hAnsi="宋体"/>
                <w:bCs/>
                <w:sz w:val="18"/>
                <w:szCs w:val="18"/>
              </w:rPr>
              <w:t>备注</w:t>
            </w:r>
          </w:p>
        </w:tc>
      </w:tr>
      <w:tr w14:paraId="0FC7C6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6" w:hRule="atLeast"/>
          <w:jc w:val="center"/>
        </w:trPr>
        <w:tc>
          <w:tcPr>
            <w:tcW w:w="494" w:type="dxa"/>
            <w:tcBorders>
              <w:top w:val="single" w:color="auto" w:sz="8" w:space="0"/>
            </w:tcBorders>
            <w:shd w:val="clear" w:color="auto" w:fill="auto"/>
            <w:vAlign w:val="center"/>
          </w:tcPr>
          <w:p w14:paraId="0B90D056">
            <w:pPr>
              <w:pStyle w:val="56"/>
              <w:spacing w:line="280" w:lineRule="exact"/>
              <w:ind w:firstLine="0" w:firstLineChars="0"/>
              <w:jc w:val="center"/>
              <w:rPr>
                <w:rFonts w:hAnsi="宋体"/>
                <w:sz w:val="18"/>
                <w:szCs w:val="18"/>
              </w:rPr>
            </w:pPr>
            <w:r>
              <w:rPr>
                <w:rFonts w:hint="eastAsia" w:hAnsi="宋体"/>
                <w:sz w:val="18"/>
                <w:szCs w:val="18"/>
              </w:rPr>
              <w:t>1</w:t>
            </w:r>
          </w:p>
        </w:tc>
        <w:tc>
          <w:tcPr>
            <w:tcW w:w="1459" w:type="dxa"/>
            <w:vMerge w:val="restart"/>
            <w:tcBorders>
              <w:top w:val="single" w:color="auto" w:sz="8" w:space="0"/>
            </w:tcBorders>
            <w:shd w:val="clear" w:color="auto" w:fill="auto"/>
            <w:vAlign w:val="center"/>
          </w:tcPr>
          <w:p w14:paraId="47478B4E">
            <w:pPr>
              <w:pStyle w:val="56"/>
              <w:spacing w:line="280" w:lineRule="exact"/>
              <w:ind w:firstLine="0" w:firstLineChars="0"/>
              <w:jc w:val="center"/>
              <w:rPr>
                <w:rFonts w:hAnsi="宋体"/>
                <w:sz w:val="18"/>
                <w:szCs w:val="18"/>
              </w:rPr>
            </w:pPr>
            <w:r>
              <w:rPr>
                <w:rFonts w:hint="eastAsia" w:hAnsi="宋体"/>
                <w:sz w:val="18"/>
                <w:szCs w:val="18"/>
              </w:rPr>
              <w:t>自然资源</w:t>
            </w:r>
          </w:p>
        </w:tc>
        <w:tc>
          <w:tcPr>
            <w:tcW w:w="2073" w:type="dxa"/>
            <w:tcBorders>
              <w:top w:val="single" w:color="auto" w:sz="8" w:space="0"/>
            </w:tcBorders>
            <w:shd w:val="clear" w:color="auto" w:fill="auto"/>
            <w:vAlign w:val="center"/>
          </w:tcPr>
          <w:p w14:paraId="78F17088">
            <w:pPr>
              <w:pStyle w:val="56"/>
              <w:spacing w:line="280" w:lineRule="exact"/>
              <w:ind w:firstLine="0" w:firstLineChars="0"/>
              <w:jc w:val="center"/>
              <w:rPr>
                <w:rFonts w:hAnsi="宋体"/>
                <w:sz w:val="18"/>
                <w:szCs w:val="18"/>
              </w:rPr>
            </w:pPr>
            <w:r>
              <w:rPr>
                <w:rFonts w:hint="eastAsia" w:hAnsi="宋体"/>
                <w:sz w:val="18"/>
                <w:szCs w:val="18"/>
              </w:rPr>
              <w:t>正射影像图、数字线划图</w:t>
            </w:r>
          </w:p>
        </w:tc>
        <w:tc>
          <w:tcPr>
            <w:tcW w:w="3204" w:type="dxa"/>
            <w:tcBorders>
              <w:top w:val="single" w:color="auto" w:sz="8" w:space="0"/>
            </w:tcBorders>
            <w:shd w:val="clear" w:color="auto" w:fill="auto"/>
            <w:vAlign w:val="center"/>
          </w:tcPr>
          <w:p w14:paraId="3C2190BF">
            <w:pPr>
              <w:pStyle w:val="56"/>
              <w:spacing w:line="280" w:lineRule="exact"/>
              <w:ind w:firstLine="0" w:firstLineChars="0"/>
              <w:jc w:val="center"/>
              <w:rPr>
                <w:rFonts w:hAnsi="宋体"/>
                <w:sz w:val="18"/>
                <w:szCs w:val="18"/>
              </w:rPr>
            </w:pPr>
            <w:r>
              <w:rPr>
                <w:rFonts w:hint="eastAsia" w:hAnsi="宋体"/>
                <w:sz w:val="18"/>
                <w:szCs w:val="18"/>
              </w:rPr>
              <w:t>为登记单元制作提供参考基准和底图</w:t>
            </w:r>
          </w:p>
        </w:tc>
        <w:tc>
          <w:tcPr>
            <w:tcW w:w="2519" w:type="dxa"/>
            <w:tcBorders>
              <w:top w:val="single" w:color="auto" w:sz="8" w:space="0"/>
            </w:tcBorders>
            <w:shd w:val="clear" w:color="auto" w:fill="auto"/>
            <w:vAlign w:val="center"/>
          </w:tcPr>
          <w:p w14:paraId="5F17C99A">
            <w:pPr>
              <w:pStyle w:val="56"/>
              <w:spacing w:line="280" w:lineRule="exact"/>
              <w:ind w:firstLine="360"/>
              <w:jc w:val="center"/>
              <w:rPr>
                <w:rFonts w:hAnsi="宋体"/>
                <w:sz w:val="18"/>
                <w:szCs w:val="18"/>
              </w:rPr>
            </w:pPr>
          </w:p>
        </w:tc>
      </w:tr>
      <w:tr w14:paraId="5B551D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22" w:hRule="atLeast"/>
          <w:jc w:val="center"/>
        </w:trPr>
        <w:tc>
          <w:tcPr>
            <w:tcW w:w="494" w:type="dxa"/>
            <w:shd w:val="clear" w:color="auto" w:fill="auto"/>
            <w:vAlign w:val="center"/>
          </w:tcPr>
          <w:p w14:paraId="05A01F7B">
            <w:pPr>
              <w:pStyle w:val="56"/>
              <w:spacing w:line="280" w:lineRule="exact"/>
              <w:ind w:firstLine="0" w:firstLineChars="0"/>
              <w:jc w:val="center"/>
              <w:rPr>
                <w:rFonts w:hAnsi="宋体"/>
                <w:sz w:val="18"/>
                <w:szCs w:val="18"/>
              </w:rPr>
            </w:pPr>
            <w:r>
              <w:rPr>
                <w:rFonts w:hint="eastAsia" w:hAnsi="宋体"/>
                <w:sz w:val="18"/>
                <w:szCs w:val="18"/>
              </w:rPr>
              <w:t>2</w:t>
            </w:r>
          </w:p>
        </w:tc>
        <w:tc>
          <w:tcPr>
            <w:tcW w:w="1459" w:type="dxa"/>
            <w:vMerge w:val="continue"/>
            <w:shd w:val="clear" w:color="auto" w:fill="auto"/>
            <w:vAlign w:val="center"/>
          </w:tcPr>
          <w:p w14:paraId="688674E3">
            <w:pPr>
              <w:pStyle w:val="56"/>
              <w:spacing w:line="280" w:lineRule="exact"/>
              <w:ind w:firstLine="360"/>
              <w:jc w:val="center"/>
              <w:rPr>
                <w:rFonts w:hAnsi="宋体"/>
                <w:sz w:val="18"/>
                <w:szCs w:val="18"/>
              </w:rPr>
            </w:pPr>
          </w:p>
        </w:tc>
        <w:tc>
          <w:tcPr>
            <w:tcW w:w="2073" w:type="dxa"/>
            <w:shd w:val="clear" w:color="auto" w:fill="auto"/>
            <w:vAlign w:val="center"/>
          </w:tcPr>
          <w:p w14:paraId="2F18F564">
            <w:pPr>
              <w:pStyle w:val="56"/>
              <w:spacing w:line="280" w:lineRule="exact"/>
              <w:ind w:firstLine="0" w:firstLineChars="0"/>
              <w:jc w:val="center"/>
              <w:rPr>
                <w:rFonts w:hAnsi="宋体"/>
                <w:sz w:val="18"/>
                <w:szCs w:val="18"/>
              </w:rPr>
            </w:pPr>
            <w:r>
              <w:rPr>
                <w:rFonts w:hint="eastAsia" w:hAnsi="宋体"/>
                <w:sz w:val="18"/>
                <w:szCs w:val="18"/>
              </w:rPr>
              <w:t>国土调查成果</w:t>
            </w:r>
          </w:p>
        </w:tc>
        <w:tc>
          <w:tcPr>
            <w:tcW w:w="3204" w:type="dxa"/>
            <w:shd w:val="clear" w:color="auto" w:fill="auto"/>
            <w:vAlign w:val="center"/>
          </w:tcPr>
          <w:p w14:paraId="60CD4475">
            <w:pPr>
              <w:pStyle w:val="56"/>
              <w:spacing w:line="280" w:lineRule="exact"/>
              <w:ind w:firstLine="0" w:firstLineChars="0"/>
              <w:jc w:val="center"/>
              <w:rPr>
                <w:rFonts w:hAnsi="宋体"/>
                <w:sz w:val="18"/>
                <w:szCs w:val="18"/>
              </w:rPr>
            </w:pPr>
            <w:r>
              <w:rPr>
                <w:rFonts w:hint="eastAsia" w:hAnsi="宋体"/>
                <w:sz w:val="18"/>
                <w:szCs w:val="18"/>
              </w:rPr>
              <w:t>提取登记单元内自然资源图斑，制作工作底图</w:t>
            </w:r>
          </w:p>
        </w:tc>
        <w:tc>
          <w:tcPr>
            <w:tcW w:w="2519" w:type="dxa"/>
            <w:shd w:val="clear" w:color="auto" w:fill="auto"/>
            <w:vAlign w:val="center"/>
          </w:tcPr>
          <w:p w14:paraId="5B9B5478">
            <w:pPr>
              <w:pStyle w:val="56"/>
              <w:spacing w:line="280" w:lineRule="exact"/>
              <w:ind w:firstLine="0" w:firstLineChars="0"/>
              <w:jc w:val="center"/>
              <w:rPr>
                <w:rFonts w:hAnsi="宋体"/>
                <w:sz w:val="18"/>
                <w:szCs w:val="18"/>
              </w:rPr>
            </w:pPr>
            <w:r>
              <w:rPr>
                <w:rFonts w:hint="eastAsia" w:hAnsi="宋体"/>
                <w:sz w:val="18"/>
                <w:szCs w:val="18"/>
              </w:rPr>
              <w:t>包括数据库、文本等相关资料</w:t>
            </w:r>
          </w:p>
        </w:tc>
      </w:tr>
      <w:tr w14:paraId="69D2FF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94" w:type="dxa"/>
            <w:shd w:val="clear" w:color="auto" w:fill="auto"/>
            <w:vAlign w:val="center"/>
          </w:tcPr>
          <w:p w14:paraId="6F167462">
            <w:pPr>
              <w:pStyle w:val="56"/>
              <w:spacing w:line="280" w:lineRule="exact"/>
              <w:ind w:firstLine="0" w:firstLineChars="0"/>
              <w:jc w:val="center"/>
              <w:rPr>
                <w:rFonts w:hAnsi="宋体"/>
                <w:sz w:val="18"/>
                <w:szCs w:val="18"/>
              </w:rPr>
            </w:pPr>
            <w:r>
              <w:rPr>
                <w:rFonts w:hint="eastAsia" w:hAnsi="宋体"/>
                <w:sz w:val="18"/>
                <w:szCs w:val="18"/>
              </w:rPr>
              <w:t>3</w:t>
            </w:r>
          </w:p>
        </w:tc>
        <w:tc>
          <w:tcPr>
            <w:tcW w:w="1459" w:type="dxa"/>
            <w:vMerge w:val="continue"/>
            <w:shd w:val="clear" w:color="auto" w:fill="auto"/>
            <w:vAlign w:val="center"/>
          </w:tcPr>
          <w:p w14:paraId="3BD9BEA4">
            <w:pPr>
              <w:pStyle w:val="56"/>
              <w:spacing w:line="280" w:lineRule="exact"/>
              <w:ind w:firstLine="360"/>
              <w:jc w:val="center"/>
              <w:rPr>
                <w:rFonts w:hAnsi="宋体"/>
                <w:sz w:val="18"/>
                <w:szCs w:val="18"/>
              </w:rPr>
            </w:pPr>
          </w:p>
        </w:tc>
        <w:tc>
          <w:tcPr>
            <w:tcW w:w="2073" w:type="dxa"/>
            <w:shd w:val="clear" w:color="auto" w:fill="auto"/>
            <w:vAlign w:val="center"/>
          </w:tcPr>
          <w:p w14:paraId="4A0D541E">
            <w:pPr>
              <w:pStyle w:val="56"/>
              <w:spacing w:line="280" w:lineRule="exact"/>
              <w:ind w:firstLine="0" w:firstLineChars="0"/>
              <w:jc w:val="center"/>
              <w:rPr>
                <w:rFonts w:hAnsi="宋体"/>
                <w:sz w:val="18"/>
                <w:szCs w:val="18"/>
              </w:rPr>
            </w:pPr>
            <w:r>
              <w:rPr>
                <w:rFonts w:hint="eastAsia" w:hAnsi="宋体"/>
                <w:sz w:val="18"/>
                <w:szCs w:val="18"/>
              </w:rPr>
              <w:t>农村集体土地所有权确权登记成果</w:t>
            </w:r>
          </w:p>
        </w:tc>
        <w:tc>
          <w:tcPr>
            <w:tcW w:w="3204" w:type="dxa"/>
            <w:shd w:val="clear" w:color="auto" w:fill="auto"/>
            <w:vAlign w:val="center"/>
          </w:tcPr>
          <w:p w14:paraId="52774070">
            <w:pPr>
              <w:pStyle w:val="56"/>
              <w:spacing w:line="280" w:lineRule="exact"/>
              <w:ind w:firstLine="360"/>
              <w:jc w:val="center"/>
              <w:rPr>
                <w:rFonts w:hAnsi="宋体"/>
                <w:sz w:val="18"/>
                <w:szCs w:val="18"/>
              </w:rPr>
            </w:pPr>
            <w:r>
              <w:rPr>
                <w:rFonts w:hint="eastAsia" w:hAnsi="宋体"/>
                <w:sz w:val="18"/>
                <w:szCs w:val="18"/>
              </w:rPr>
              <w:t>确认登记单元内权属信息</w:t>
            </w:r>
          </w:p>
        </w:tc>
        <w:tc>
          <w:tcPr>
            <w:tcW w:w="2519" w:type="dxa"/>
            <w:shd w:val="clear" w:color="auto" w:fill="auto"/>
            <w:vAlign w:val="center"/>
          </w:tcPr>
          <w:p w14:paraId="5A8474BB">
            <w:pPr>
              <w:pStyle w:val="56"/>
              <w:spacing w:line="280" w:lineRule="exact"/>
              <w:ind w:firstLine="0" w:firstLineChars="0"/>
              <w:jc w:val="center"/>
              <w:rPr>
                <w:rFonts w:hAnsi="宋体"/>
                <w:sz w:val="18"/>
                <w:szCs w:val="18"/>
              </w:rPr>
            </w:pPr>
            <w:r>
              <w:rPr>
                <w:rFonts w:hint="eastAsia" w:hAnsi="宋体"/>
                <w:sz w:val="18"/>
                <w:szCs w:val="18"/>
              </w:rPr>
              <w:t>包括数据库、纸质协议书等扫描附件</w:t>
            </w:r>
          </w:p>
        </w:tc>
      </w:tr>
      <w:tr w14:paraId="57005D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94" w:type="dxa"/>
            <w:shd w:val="clear" w:color="auto" w:fill="auto"/>
            <w:vAlign w:val="center"/>
          </w:tcPr>
          <w:p w14:paraId="0C695325">
            <w:pPr>
              <w:pStyle w:val="56"/>
              <w:spacing w:line="280" w:lineRule="exact"/>
              <w:ind w:firstLine="0" w:firstLineChars="0"/>
              <w:jc w:val="center"/>
              <w:rPr>
                <w:rFonts w:hAnsi="宋体"/>
                <w:sz w:val="18"/>
                <w:szCs w:val="18"/>
              </w:rPr>
            </w:pPr>
            <w:r>
              <w:rPr>
                <w:rFonts w:hint="eastAsia" w:hAnsi="宋体"/>
                <w:sz w:val="18"/>
                <w:szCs w:val="18"/>
              </w:rPr>
              <w:t>4</w:t>
            </w:r>
          </w:p>
        </w:tc>
        <w:tc>
          <w:tcPr>
            <w:tcW w:w="1459" w:type="dxa"/>
            <w:vMerge w:val="continue"/>
            <w:shd w:val="clear" w:color="auto" w:fill="auto"/>
            <w:vAlign w:val="center"/>
          </w:tcPr>
          <w:p w14:paraId="1D07B539">
            <w:pPr>
              <w:pStyle w:val="56"/>
              <w:spacing w:line="280" w:lineRule="exact"/>
              <w:ind w:firstLine="360"/>
              <w:jc w:val="center"/>
              <w:rPr>
                <w:rFonts w:hAnsi="宋体"/>
                <w:sz w:val="18"/>
                <w:szCs w:val="18"/>
              </w:rPr>
            </w:pPr>
          </w:p>
        </w:tc>
        <w:tc>
          <w:tcPr>
            <w:tcW w:w="2073" w:type="dxa"/>
            <w:shd w:val="clear" w:color="auto" w:fill="auto"/>
            <w:vAlign w:val="center"/>
          </w:tcPr>
          <w:p w14:paraId="657F8319">
            <w:pPr>
              <w:pStyle w:val="56"/>
              <w:spacing w:line="280" w:lineRule="exact"/>
              <w:ind w:firstLine="0" w:firstLineChars="0"/>
              <w:jc w:val="center"/>
              <w:rPr>
                <w:rFonts w:hAnsi="宋体"/>
                <w:sz w:val="18"/>
                <w:szCs w:val="18"/>
              </w:rPr>
            </w:pPr>
            <w:r>
              <w:rPr>
                <w:rFonts w:hint="eastAsia" w:hAnsi="宋体"/>
                <w:sz w:val="18"/>
                <w:szCs w:val="18"/>
              </w:rPr>
              <w:t>不动产登记数据</w:t>
            </w:r>
          </w:p>
        </w:tc>
        <w:tc>
          <w:tcPr>
            <w:tcW w:w="3204" w:type="dxa"/>
            <w:shd w:val="clear" w:color="auto" w:fill="auto"/>
            <w:vAlign w:val="center"/>
          </w:tcPr>
          <w:p w14:paraId="3CBFC30C">
            <w:pPr>
              <w:pStyle w:val="56"/>
              <w:spacing w:line="280" w:lineRule="exact"/>
              <w:ind w:firstLine="0" w:firstLineChars="0"/>
              <w:jc w:val="center"/>
              <w:rPr>
                <w:rFonts w:hAnsi="宋体"/>
                <w:sz w:val="18"/>
                <w:szCs w:val="18"/>
              </w:rPr>
            </w:pPr>
            <w:r>
              <w:rPr>
                <w:rFonts w:hint="eastAsia" w:hAnsi="宋体"/>
                <w:sz w:val="18"/>
                <w:szCs w:val="18"/>
              </w:rPr>
              <w:t>提取国有土地使用权确权登记数据、对不动产信息进行关联</w:t>
            </w:r>
          </w:p>
        </w:tc>
        <w:tc>
          <w:tcPr>
            <w:tcW w:w="2519" w:type="dxa"/>
            <w:shd w:val="clear" w:color="auto" w:fill="auto"/>
            <w:vAlign w:val="center"/>
          </w:tcPr>
          <w:p w14:paraId="0EE83E2F">
            <w:pPr>
              <w:pStyle w:val="56"/>
              <w:spacing w:line="280" w:lineRule="exact"/>
              <w:ind w:firstLine="360"/>
              <w:jc w:val="center"/>
              <w:rPr>
                <w:rFonts w:hAnsi="宋体"/>
                <w:sz w:val="18"/>
                <w:szCs w:val="18"/>
              </w:rPr>
            </w:pPr>
          </w:p>
        </w:tc>
      </w:tr>
      <w:tr w14:paraId="64414C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494" w:type="dxa"/>
            <w:shd w:val="clear" w:color="auto" w:fill="auto"/>
            <w:vAlign w:val="center"/>
          </w:tcPr>
          <w:p w14:paraId="64DF9845">
            <w:pPr>
              <w:pStyle w:val="56"/>
              <w:spacing w:line="280" w:lineRule="exact"/>
              <w:ind w:firstLine="0" w:firstLineChars="0"/>
              <w:jc w:val="center"/>
              <w:rPr>
                <w:rFonts w:hAnsi="宋体"/>
                <w:sz w:val="18"/>
                <w:szCs w:val="18"/>
              </w:rPr>
            </w:pPr>
            <w:r>
              <w:rPr>
                <w:rFonts w:hint="eastAsia" w:hAnsi="宋体"/>
                <w:sz w:val="18"/>
                <w:szCs w:val="18"/>
              </w:rPr>
              <w:t>5</w:t>
            </w:r>
          </w:p>
        </w:tc>
        <w:tc>
          <w:tcPr>
            <w:tcW w:w="1459" w:type="dxa"/>
            <w:vMerge w:val="continue"/>
            <w:shd w:val="clear" w:color="auto" w:fill="auto"/>
            <w:vAlign w:val="center"/>
          </w:tcPr>
          <w:p w14:paraId="7E37AD83">
            <w:pPr>
              <w:pStyle w:val="56"/>
              <w:spacing w:line="280" w:lineRule="exact"/>
              <w:ind w:firstLine="360"/>
              <w:jc w:val="center"/>
              <w:rPr>
                <w:rFonts w:hAnsi="宋体"/>
                <w:sz w:val="18"/>
                <w:szCs w:val="18"/>
              </w:rPr>
            </w:pPr>
          </w:p>
        </w:tc>
        <w:tc>
          <w:tcPr>
            <w:tcW w:w="2073" w:type="dxa"/>
            <w:shd w:val="clear" w:color="auto" w:fill="auto"/>
            <w:vAlign w:val="center"/>
          </w:tcPr>
          <w:p w14:paraId="2E4E761A">
            <w:pPr>
              <w:pStyle w:val="56"/>
              <w:spacing w:line="280" w:lineRule="exact"/>
              <w:ind w:firstLine="0" w:firstLineChars="0"/>
              <w:jc w:val="center"/>
              <w:rPr>
                <w:rFonts w:hAnsi="宋体"/>
                <w:sz w:val="18"/>
                <w:szCs w:val="18"/>
              </w:rPr>
            </w:pPr>
            <w:r>
              <w:rPr>
                <w:rFonts w:hint="eastAsia" w:hAnsi="宋体"/>
                <w:sz w:val="18"/>
                <w:szCs w:val="18"/>
              </w:rPr>
              <w:t>矿产资源储量数据库、矿业权信息</w:t>
            </w:r>
          </w:p>
        </w:tc>
        <w:tc>
          <w:tcPr>
            <w:tcW w:w="3204" w:type="dxa"/>
            <w:shd w:val="clear" w:color="auto" w:fill="auto"/>
            <w:vAlign w:val="center"/>
          </w:tcPr>
          <w:p w14:paraId="1A07E855">
            <w:pPr>
              <w:pStyle w:val="56"/>
              <w:spacing w:line="280" w:lineRule="exact"/>
              <w:ind w:firstLine="0" w:firstLineChars="0"/>
              <w:jc w:val="center"/>
              <w:rPr>
                <w:rFonts w:hAnsi="宋体"/>
                <w:sz w:val="18"/>
                <w:szCs w:val="18"/>
              </w:rPr>
            </w:pPr>
            <w:r>
              <w:rPr>
                <w:rFonts w:hint="eastAsia" w:hAnsi="宋体"/>
                <w:sz w:val="18"/>
                <w:szCs w:val="18"/>
              </w:rPr>
              <w:t>提取探明储量的矿产资源范围、探矿和</w:t>
            </w:r>
            <w:r>
              <w:rPr>
                <w:rFonts w:hAnsi="宋体"/>
                <w:sz w:val="18"/>
                <w:szCs w:val="18"/>
              </w:rPr>
              <w:t>采</w:t>
            </w:r>
            <w:r>
              <w:rPr>
                <w:rFonts w:hint="eastAsia" w:hAnsi="宋体"/>
                <w:sz w:val="18"/>
                <w:szCs w:val="18"/>
              </w:rPr>
              <w:t>矿权信息</w:t>
            </w:r>
          </w:p>
        </w:tc>
        <w:tc>
          <w:tcPr>
            <w:tcW w:w="2519" w:type="dxa"/>
            <w:shd w:val="clear" w:color="auto" w:fill="auto"/>
            <w:vAlign w:val="center"/>
          </w:tcPr>
          <w:p w14:paraId="70791191">
            <w:pPr>
              <w:pStyle w:val="56"/>
              <w:spacing w:line="280" w:lineRule="exact"/>
              <w:ind w:firstLine="360"/>
              <w:jc w:val="center"/>
              <w:rPr>
                <w:rFonts w:hAnsi="宋体"/>
                <w:sz w:val="18"/>
                <w:szCs w:val="18"/>
              </w:rPr>
            </w:pPr>
          </w:p>
        </w:tc>
      </w:tr>
      <w:tr w14:paraId="44ECB3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94" w:type="dxa"/>
            <w:shd w:val="clear" w:color="auto" w:fill="auto"/>
            <w:vAlign w:val="center"/>
          </w:tcPr>
          <w:p w14:paraId="111E4BF5">
            <w:pPr>
              <w:pStyle w:val="56"/>
              <w:spacing w:line="280" w:lineRule="exact"/>
              <w:ind w:firstLine="0" w:firstLineChars="0"/>
              <w:jc w:val="center"/>
              <w:rPr>
                <w:rFonts w:hAnsi="宋体"/>
                <w:sz w:val="18"/>
                <w:szCs w:val="18"/>
              </w:rPr>
            </w:pPr>
            <w:r>
              <w:rPr>
                <w:rFonts w:hint="eastAsia" w:hAnsi="宋体"/>
                <w:sz w:val="18"/>
                <w:szCs w:val="18"/>
              </w:rPr>
              <w:t>6</w:t>
            </w:r>
          </w:p>
        </w:tc>
        <w:tc>
          <w:tcPr>
            <w:tcW w:w="1459" w:type="dxa"/>
            <w:vMerge w:val="continue"/>
            <w:shd w:val="clear" w:color="auto" w:fill="auto"/>
            <w:vAlign w:val="center"/>
          </w:tcPr>
          <w:p w14:paraId="70D5B822">
            <w:pPr>
              <w:pStyle w:val="56"/>
              <w:spacing w:line="280" w:lineRule="exact"/>
              <w:ind w:firstLine="360"/>
              <w:jc w:val="center"/>
              <w:rPr>
                <w:rFonts w:hAnsi="宋体"/>
                <w:sz w:val="18"/>
                <w:szCs w:val="18"/>
              </w:rPr>
            </w:pPr>
          </w:p>
        </w:tc>
        <w:tc>
          <w:tcPr>
            <w:tcW w:w="2073" w:type="dxa"/>
            <w:shd w:val="clear" w:color="auto" w:fill="auto"/>
            <w:vAlign w:val="center"/>
          </w:tcPr>
          <w:p w14:paraId="43B751BD">
            <w:pPr>
              <w:pStyle w:val="56"/>
              <w:spacing w:line="280" w:lineRule="exact"/>
              <w:ind w:firstLine="0" w:firstLineChars="0"/>
              <w:jc w:val="center"/>
              <w:rPr>
                <w:rFonts w:hAnsi="宋体"/>
                <w:sz w:val="18"/>
                <w:szCs w:val="18"/>
              </w:rPr>
            </w:pPr>
            <w:r>
              <w:rPr>
                <w:rFonts w:hint="eastAsia" w:hAnsi="宋体"/>
                <w:sz w:val="18"/>
                <w:szCs w:val="18"/>
              </w:rPr>
              <w:t>国土空间规划成果</w:t>
            </w:r>
          </w:p>
        </w:tc>
        <w:tc>
          <w:tcPr>
            <w:tcW w:w="3204" w:type="dxa"/>
            <w:shd w:val="clear" w:color="auto" w:fill="auto"/>
            <w:vAlign w:val="center"/>
          </w:tcPr>
          <w:p w14:paraId="0B86E7B9">
            <w:pPr>
              <w:pStyle w:val="56"/>
              <w:spacing w:line="280" w:lineRule="exact"/>
              <w:ind w:firstLine="0" w:firstLineChars="0"/>
              <w:jc w:val="center"/>
              <w:rPr>
                <w:rFonts w:hAnsi="宋体"/>
                <w:sz w:val="18"/>
                <w:szCs w:val="18"/>
              </w:rPr>
            </w:pPr>
            <w:r>
              <w:rPr>
                <w:rFonts w:hint="eastAsia" w:hAnsi="宋体"/>
                <w:sz w:val="18"/>
                <w:szCs w:val="18"/>
              </w:rPr>
              <w:t>提取登记单元内用途管制等相关信息</w:t>
            </w:r>
          </w:p>
        </w:tc>
        <w:tc>
          <w:tcPr>
            <w:tcW w:w="2519" w:type="dxa"/>
            <w:shd w:val="clear" w:color="auto" w:fill="auto"/>
            <w:vAlign w:val="center"/>
          </w:tcPr>
          <w:p w14:paraId="2F8497AC">
            <w:pPr>
              <w:pStyle w:val="56"/>
              <w:spacing w:line="280" w:lineRule="exact"/>
              <w:ind w:firstLine="0" w:firstLineChars="0"/>
              <w:jc w:val="center"/>
              <w:rPr>
                <w:rFonts w:hAnsi="宋体"/>
                <w:sz w:val="18"/>
                <w:szCs w:val="18"/>
              </w:rPr>
            </w:pPr>
            <w:r>
              <w:rPr>
                <w:rFonts w:hint="eastAsia" w:hAnsi="宋体"/>
                <w:sz w:val="18"/>
                <w:szCs w:val="18"/>
              </w:rPr>
              <w:t>包括永久基本农田、生态保护红线、城镇开发边界等各类管制和保护信息。</w:t>
            </w:r>
          </w:p>
        </w:tc>
      </w:tr>
      <w:tr w14:paraId="7EBE7A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94" w:type="dxa"/>
            <w:shd w:val="clear" w:color="auto" w:fill="auto"/>
            <w:vAlign w:val="center"/>
          </w:tcPr>
          <w:p w14:paraId="69653D4B">
            <w:pPr>
              <w:pStyle w:val="56"/>
              <w:spacing w:line="280" w:lineRule="exact"/>
              <w:ind w:firstLine="0" w:firstLineChars="0"/>
              <w:jc w:val="center"/>
              <w:rPr>
                <w:rFonts w:hAnsi="宋体"/>
                <w:sz w:val="18"/>
                <w:szCs w:val="18"/>
              </w:rPr>
            </w:pPr>
            <w:r>
              <w:rPr>
                <w:rFonts w:hint="eastAsia" w:hAnsi="宋体"/>
                <w:sz w:val="18"/>
                <w:szCs w:val="18"/>
              </w:rPr>
              <w:t>7</w:t>
            </w:r>
          </w:p>
        </w:tc>
        <w:tc>
          <w:tcPr>
            <w:tcW w:w="1459" w:type="dxa"/>
            <w:vMerge w:val="restart"/>
            <w:shd w:val="clear" w:color="auto" w:fill="auto"/>
            <w:vAlign w:val="center"/>
          </w:tcPr>
          <w:p w14:paraId="04CB7904">
            <w:pPr>
              <w:pStyle w:val="56"/>
              <w:spacing w:line="280" w:lineRule="exact"/>
              <w:ind w:firstLine="0" w:firstLineChars="0"/>
              <w:jc w:val="center"/>
              <w:rPr>
                <w:rFonts w:hAnsi="宋体"/>
                <w:sz w:val="18"/>
                <w:szCs w:val="18"/>
              </w:rPr>
            </w:pPr>
            <w:r>
              <w:rPr>
                <w:rFonts w:hint="eastAsia" w:hAnsi="宋体"/>
                <w:sz w:val="18"/>
                <w:szCs w:val="18"/>
              </w:rPr>
              <w:t>林业</w:t>
            </w:r>
          </w:p>
        </w:tc>
        <w:tc>
          <w:tcPr>
            <w:tcW w:w="2073" w:type="dxa"/>
            <w:shd w:val="clear" w:color="auto" w:fill="auto"/>
            <w:vAlign w:val="center"/>
          </w:tcPr>
          <w:p w14:paraId="3C83965A">
            <w:pPr>
              <w:pStyle w:val="56"/>
              <w:spacing w:line="280" w:lineRule="exact"/>
              <w:ind w:firstLine="0" w:firstLineChars="0"/>
              <w:jc w:val="center"/>
              <w:rPr>
                <w:rFonts w:hAnsi="宋体"/>
                <w:sz w:val="18"/>
                <w:szCs w:val="18"/>
              </w:rPr>
            </w:pPr>
            <w:r>
              <w:rPr>
                <w:rFonts w:hint="eastAsia" w:hAnsi="宋体"/>
                <w:sz w:val="18"/>
                <w:szCs w:val="18"/>
              </w:rPr>
              <w:t>自然保护地的审批成果</w:t>
            </w:r>
          </w:p>
        </w:tc>
        <w:tc>
          <w:tcPr>
            <w:tcW w:w="3204" w:type="dxa"/>
            <w:shd w:val="clear" w:color="auto" w:fill="auto"/>
            <w:vAlign w:val="center"/>
          </w:tcPr>
          <w:p w14:paraId="5D836D68">
            <w:pPr>
              <w:pStyle w:val="56"/>
              <w:spacing w:line="280" w:lineRule="exact"/>
              <w:ind w:firstLine="0" w:firstLineChars="0"/>
              <w:jc w:val="center"/>
              <w:rPr>
                <w:rFonts w:hAnsi="宋体"/>
                <w:sz w:val="18"/>
                <w:szCs w:val="18"/>
              </w:rPr>
            </w:pPr>
            <w:r>
              <w:rPr>
                <w:rFonts w:hint="eastAsia" w:hAnsi="宋体"/>
                <w:sz w:val="18"/>
                <w:szCs w:val="18"/>
              </w:rPr>
              <w:t>用于登记单元划分</w:t>
            </w:r>
          </w:p>
        </w:tc>
        <w:tc>
          <w:tcPr>
            <w:tcW w:w="2519" w:type="dxa"/>
            <w:shd w:val="clear" w:color="auto" w:fill="auto"/>
            <w:vAlign w:val="center"/>
          </w:tcPr>
          <w:p w14:paraId="516A17A1">
            <w:pPr>
              <w:pStyle w:val="56"/>
              <w:spacing w:line="280" w:lineRule="exact"/>
              <w:ind w:firstLine="0" w:firstLineChars="0"/>
              <w:jc w:val="center"/>
              <w:rPr>
                <w:rFonts w:hAnsi="宋体"/>
                <w:sz w:val="18"/>
                <w:szCs w:val="18"/>
                <w:highlight w:val="yellow"/>
              </w:rPr>
            </w:pPr>
            <w:r>
              <w:rPr>
                <w:rFonts w:hint="eastAsia" w:hAnsi="宋体"/>
                <w:sz w:val="18"/>
                <w:szCs w:val="18"/>
              </w:rPr>
              <w:t>自然保护地设立批复/自然保护地范围矢量文件/</w:t>
            </w:r>
            <w:r>
              <w:rPr>
                <w:rFonts w:hAnsi="宋体"/>
                <w:sz w:val="18"/>
                <w:szCs w:val="18"/>
              </w:rPr>
              <w:t>功能分区、</w:t>
            </w:r>
            <w:r>
              <w:rPr>
                <w:rFonts w:hint="eastAsia" w:hAnsi="宋体"/>
                <w:sz w:val="18"/>
                <w:szCs w:val="18"/>
              </w:rPr>
              <w:t>总体规划成果</w:t>
            </w:r>
          </w:p>
        </w:tc>
      </w:tr>
      <w:tr w14:paraId="0943B0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94" w:type="dxa"/>
            <w:vMerge w:val="restart"/>
            <w:shd w:val="clear" w:color="auto" w:fill="auto"/>
            <w:vAlign w:val="center"/>
          </w:tcPr>
          <w:p w14:paraId="2BA92CBE">
            <w:pPr>
              <w:pStyle w:val="56"/>
              <w:spacing w:line="280" w:lineRule="exact"/>
              <w:ind w:firstLine="0" w:firstLineChars="0"/>
              <w:jc w:val="center"/>
              <w:rPr>
                <w:rFonts w:hAnsi="宋体"/>
                <w:sz w:val="18"/>
                <w:szCs w:val="18"/>
              </w:rPr>
            </w:pPr>
            <w:r>
              <w:rPr>
                <w:rFonts w:hint="eastAsia" w:hAnsi="宋体"/>
                <w:sz w:val="18"/>
                <w:szCs w:val="18"/>
              </w:rPr>
              <w:t>8</w:t>
            </w:r>
          </w:p>
        </w:tc>
        <w:tc>
          <w:tcPr>
            <w:tcW w:w="1459" w:type="dxa"/>
            <w:vMerge w:val="continue"/>
            <w:shd w:val="clear" w:color="auto" w:fill="auto"/>
            <w:vAlign w:val="center"/>
          </w:tcPr>
          <w:p w14:paraId="73467358">
            <w:pPr>
              <w:pStyle w:val="56"/>
              <w:spacing w:line="280" w:lineRule="exact"/>
              <w:ind w:firstLine="0" w:firstLineChars="0"/>
              <w:jc w:val="center"/>
              <w:rPr>
                <w:rFonts w:hAnsi="宋体"/>
                <w:sz w:val="18"/>
                <w:szCs w:val="18"/>
              </w:rPr>
            </w:pPr>
          </w:p>
        </w:tc>
        <w:tc>
          <w:tcPr>
            <w:tcW w:w="2073" w:type="dxa"/>
            <w:shd w:val="clear" w:color="auto" w:fill="auto"/>
            <w:vAlign w:val="center"/>
          </w:tcPr>
          <w:p w14:paraId="17BCA261">
            <w:pPr>
              <w:pStyle w:val="56"/>
              <w:spacing w:line="280" w:lineRule="exact"/>
              <w:ind w:firstLine="0" w:firstLineChars="0"/>
              <w:jc w:val="center"/>
              <w:rPr>
                <w:rFonts w:hAnsi="宋体"/>
                <w:sz w:val="18"/>
                <w:szCs w:val="18"/>
              </w:rPr>
            </w:pPr>
            <w:r>
              <w:rPr>
                <w:rFonts w:hint="eastAsia" w:hAnsi="宋体"/>
                <w:sz w:val="18"/>
                <w:szCs w:val="18"/>
              </w:rPr>
              <w:t>森林、草原、湿地专项调查成果</w:t>
            </w:r>
          </w:p>
        </w:tc>
        <w:tc>
          <w:tcPr>
            <w:tcW w:w="3204" w:type="dxa"/>
            <w:shd w:val="clear" w:color="auto" w:fill="auto"/>
            <w:vAlign w:val="center"/>
          </w:tcPr>
          <w:p w14:paraId="3EA10089">
            <w:pPr>
              <w:pStyle w:val="56"/>
              <w:spacing w:line="280" w:lineRule="exact"/>
              <w:ind w:firstLine="0" w:firstLineChars="0"/>
              <w:jc w:val="center"/>
              <w:rPr>
                <w:rFonts w:hAnsi="宋体"/>
                <w:sz w:val="18"/>
                <w:szCs w:val="18"/>
              </w:rPr>
            </w:pPr>
            <w:r>
              <w:rPr>
                <w:rFonts w:hint="eastAsia" w:hAnsi="宋体"/>
                <w:sz w:val="18"/>
                <w:szCs w:val="18"/>
              </w:rPr>
              <w:t>提取森林、湿地、草原资源的数量和质量信息。</w:t>
            </w:r>
          </w:p>
        </w:tc>
        <w:tc>
          <w:tcPr>
            <w:tcW w:w="2519" w:type="dxa"/>
            <w:shd w:val="clear" w:color="auto" w:fill="auto"/>
            <w:vAlign w:val="center"/>
          </w:tcPr>
          <w:p w14:paraId="2F6CBD2F">
            <w:pPr>
              <w:pStyle w:val="56"/>
              <w:spacing w:line="280" w:lineRule="exact"/>
              <w:ind w:firstLine="0" w:firstLineChars="0"/>
              <w:jc w:val="center"/>
              <w:rPr>
                <w:rFonts w:hAnsi="宋体"/>
                <w:sz w:val="18"/>
                <w:szCs w:val="18"/>
              </w:rPr>
            </w:pPr>
            <w:r>
              <w:rPr>
                <w:rFonts w:hint="eastAsia" w:hAnsi="宋体"/>
                <w:sz w:val="18"/>
                <w:szCs w:val="18"/>
              </w:rPr>
              <w:t>包括审批文件、图件成果、数据库成果、数据字典等。</w:t>
            </w:r>
          </w:p>
        </w:tc>
      </w:tr>
      <w:tr w14:paraId="77BFFC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94" w:type="dxa"/>
            <w:vMerge w:val="continue"/>
            <w:shd w:val="clear" w:color="auto" w:fill="auto"/>
            <w:vAlign w:val="center"/>
          </w:tcPr>
          <w:p w14:paraId="3A3F86D5">
            <w:pPr>
              <w:pStyle w:val="56"/>
              <w:spacing w:line="280" w:lineRule="exact"/>
              <w:ind w:firstLine="360"/>
              <w:jc w:val="center"/>
              <w:rPr>
                <w:rFonts w:hAnsi="宋体"/>
                <w:sz w:val="18"/>
                <w:szCs w:val="18"/>
              </w:rPr>
            </w:pPr>
          </w:p>
        </w:tc>
        <w:tc>
          <w:tcPr>
            <w:tcW w:w="1459" w:type="dxa"/>
            <w:vMerge w:val="continue"/>
            <w:shd w:val="clear" w:color="auto" w:fill="auto"/>
            <w:vAlign w:val="center"/>
          </w:tcPr>
          <w:p w14:paraId="47C17EC9">
            <w:pPr>
              <w:pStyle w:val="56"/>
              <w:spacing w:line="280" w:lineRule="exact"/>
              <w:ind w:firstLine="360"/>
              <w:jc w:val="center"/>
              <w:rPr>
                <w:rFonts w:hAnsi="宋体"/>
                <w:sz w:val="18"/>
                <w:szCs w:val="18"/>
              </w:rPr>
            </w:pPr>
          </w:p>
        </w:tc>
        <w:tc>
          <w:tcPr>
            <w:tcW w:w="2073" w:type="dxa"/>
            <w:shd w:val="clear" w:color="auto" w:fill="auto"/>
            <w:vAlign w:val="center"/>
          </w:tcPr>
          <w:p w14:paraId="153A6130">
            <w:pPr>
              <w:pStyle w:val="56"/>
              <w:spacing w:line="280" w:lineRule="exact"/>
              <w:ind w:firstLine="0" w:firstLineChars="0"/>
              <w:jc w:val="center"/>
              <w:rPr>
                <w:rFonts w:hAnsi="宋体"/>
                <w:sz w:val="18"/>
                <w:szCs w:val="18"/>
              </w:rPr>
            </w:pPr>
            <w:r>
              <w:rPr>
                <w:rFonts w:hint="eastAsia" w:hAnsi="宋体"/>
                <w:sz w:val="18"/>
                <w:szCs w:val="18"/>
              </w:rPr>
              <w:t>天然林、公益林划分成果</w:t>
            </w:r>
          </w:p>
        </w:tc>
        <w:tc>
          <w:tcPr>
            <w:tcW w:w="3204" w:type="dxa"/>
            <w:shd w:val="clear" w:color="auto" w:fill="auto"/>
            <w:vAlign w:val="center"/>
          </w:tcPr>
          <w:p w14:paraId="32E4332B">
            <w:pPr>
              <w:pStyle w:val="56"/>
              <w:spacing w:line="280" w:lineRule="exact"/>
              <w:ind w:firstLine="0" w:firstLineChars="0"/>
              <w:jc w:val="center"/>
              <w:rPr>
                <w:rFonts w:hAnsi="宋体"/>
                <w:sz w:val="18"/>
                <w:szCs w:val="18"/>
              </w:rPr>
            </w:pPr>
            <w:r>
              <w:rPr>
                <w:rFonts w:hint="eastAsia" w:hAnsi="宋体"/>
                <w:sz w:val="18"/>
                <w:szCs w:val="18"/>
              </w:rPr>
              <w:t>提取公共管制信息</w:t>
            </w:r>
          </w:p>
        </w:tc>
        <w:tc>
          <w:tcPr>
            <w:tcW w:w="2519" w:type="dxa"/>
            <w:shd w:val="clear" w:color="auto" w:fill="auto"/>
            <w:vAlign w:val="center"/>
          </w:tcPr>
          <w:p w14:paraId="54187ECF">
            <w:pPr>
              <w:pStyle w:val="56"/>
              <w:spacing w:line="280" w:lineRule="exact"/>
              <w:ind w:firstLine="0" w:firstLineChars="0"/>
              <w:jc w:val="center"/>
              <w:rPr>
                <w:rFonts w:hAnsi="宋体"/>
                <w:sz w:val="18"/>
                <w:szCs w:val="18"/>
              </w:rPr>
            </w:pPr>
          </w:p>
        </w:tc>
      </w:tr>
      <w:tr w14:paraId="55B88D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94" w:type="dxa"/>
            <w:shd w:val="clear" w:color="auto" w:fill="auto"/>
            <w:vAlign w:val="center"/>
          </w:tcPr>
          <w:p w14:paraId="234AFAC1">
            <w:pPr>
              <w:pStyle w:val="56"/>
              <w:spacing w:line="280" w:lineRule="exact"/>
              <w:ind w:firstLine="0" w:firstLineChars="0"/>
              <w:jc w:val="center"/>
              <w:rPr>
                <w:rFonts w:hAnsi="宋体"/>
                <w:sz w:val="18"/>
                <w:szCs w:val="18"/>
              </w:rPr>
            </w:pPr>
            <w:r>
              <w:rPr>
                <w:rFonts w:hint="eastAsia" w:hAnsi="宋体"/>
                <w:sz w:val="18"/>
                <w:szCs w:val="18"/>
              </w:rPr>
              <w:t>9</w:t>
            </w:r>
          </w:p>
        </w:tc>
        <w:tc>
          <w:tcPr>
            <w:tcW w:w="1459" w:type="dxa"/>
            <w:shd w:val="clear" w:color="auto" w:fill="auto"/>
            <w:vAlign w:val="center"/>
          </w:tcPr>
          <w:p w14:paraId="0484A140">
            <w:pPr>
              <w:pStyle w:val="56"/>
              <w:spacing w:line="280" w:lineRule="exact"/>
              <w:ind w:firstLine="0" w:firstLineChars="0"/>
              <w:jc w:val="center"/>
              <w:rPr>
                <w:rFonts w:hAnsi="宋体"/>
                <w:sz w:val="18"/>
                <w:szCs w:val="18"/>
              </w:rPr>
            </w:pPr>
            <w:r>
              <w:rPr>
                <w:rFonts w:hint="eastAsia" w:hAnsi="宋体"/>
                <w:sz w:val="18"/>
                <w:szCs w:val="18"/>
              </w:rPr>
              <w:t>农业农村</w:t>
            </w:r>
          </w:p>
        </w:tc>
        <w:tc>
          <w:tcPr>
            <w:tcW w:w="2073" w:type="dxa"/>
            <w:shd w:val="clear" w:color="auto" w:fill="auto"/>
            <w:vAlign w:val="center"/>
          </w:tcPr>
          <w:p w14:paraId="22810C3F">
            <w:pPr>
              <w:pStyle w:val="56"/>
              <w:spacing w:line="280" w:lineRule="exact"/>
              <w:ind w:firstLine="0" w:firstLineChars="0"/>
              <w:jc w:val="center"/>
              <w:rPr>
                <w:rFonts w:hAnsi="宋体"/>
                <w:sz w:val="18"/>
                <w:szCs w:val="18"/>
              </w:rPr>
            </w:pPr>
            <w:r>
              <w:rPr>
                <w:rFonts w:hint="eastAsia" w:hAnsi="宋体"/>
                <w:sz w:val="18"/>
                <w:szCs w:val="18"/>
              </w:rPr>
              <w:t>水产种质保护区审批成果</w:t>
            </w:r>
          </w:p>
        </w:tc>
        <w:tc>
          <w:tcPr>
            <w:tcW w:w="3204" w:type="dxa"/>
            <w:shd w:val="clear" w:color="auto" w:fill="auto"/>
            <w:vAlign w:val="center"/>
          </w:tcPr>
          <w:p w14:paraId="6E2AB9F9">
            <w:pPr>
              <w:pStyle w:val="56"/>
              <w:spacing w:line="280" w:lineRule="exact"/>
              <w:ind w:firstLine="0" w:firstLineChars="0"/>
              <w:jc w:val="center"/>
              <w:rPr>
                <w:rFonts w:hAnsi="宋体"/>
                <w:sz w:val="18"/>
                <w:szCs w:val="18"/>
              </w:rPr>
            </w:pPr>
            <w:r>
              <w:rPr>
                <w:rFonts w:hint="eastAsia" w:hAnsi="宋体"/>
                <w:sz w:val="18"/>
                <w:szCs w:val="18"/>
              </w:rPr>
              <w:t>用于登记单元划分</w:t>
            </w:r>
          </w:p>
        </w:tc>
        <w:tc>
          <w:tcPr>
            <w:tcW w:w="2519" w:type="dxa"/>
            <w:shd w:val="clear" w:color="auto" w:fill="auto"/>
            <w:vAlign w:val="center"/>
          </w:tcPr>
          <w:p w14:paraId="05CF4C5A">
            <w:pPr>
              <w:pStyle w:val="56"/>
              <w:spacing w:line="280" w:lineRule="exact"/>
              <w:ind w:firstLine="0" w:firstLineChars="0"/>
              <w:jc w:val="center"/>
              <w:rPr>
                <w:rFonts w:hAnsi="宋体"/>
                <w:sz w:val="18"/>
                <w:szCs w:val="18"/>
              </w:rPr>
            </w:pPr>
          </w:p>
        </w:tc>
      </w:tr>
      <w:tr w14:paraId="79E4BC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494" w:type="dxa"/>
            <w:shd w:val="clear" w:color="auto" w:fill="auto"/>
            <w:vAlign w:val="center"/>
          </w:tcPr>
          <w:p w14:paraId="306F40EF">
            <w:pPr>
              <w:pStyle w:val="56"/>
              <w:spacing w:line="280" w:lineRule="exact"/>
              <w:ind w:firstLine="0" w:firstLineChars="0"/>
              <w:jc w:val="center"/>
              <w:rPr>
                <w:rFonts w:hAnsi="宋体"/>
                <w:sz w:val="18"/>
                <w:szCs w:val="18"/>
              </w:rPr>
            </w:pPr>
            <w:r>
              <w:rPr>
                <w:rFonts w:hint="eastAsia" w:hAnsi="宋体"/>
                <w:sz w:val="18"/>
                <w:szCs w:val="18"/>
              </w:rPr>
              <w:t>10</w:t>
            </w:r>
          </w:p>
        </w:tc>
        <w:tc>
          <w:tcPr>
            <w:tcW w:w="1459" w:type="dxa"/>
            <w:vMerge w:val="restart"/>
            <w:shd w:val="clear" w:color="auto" w:fill="auto"/>
            <w:vAlign w:val="center"/>
          </w:tcPr>
          <w:p w14:paraId="2E4CE527">
            <w:pPr>
              <w:pStyle w:val="56"/>
              <w:spacing w:line="280" w:lineRule="exact"/>
              <w:ind w:firstLine="0" w:firstLineChars="0"/>
              <w:jc w:val="center"/>
              <w:rPr>
                <w:rFonts w:hAnsi="宋体"/>
                <w:sz w:val="18"/>
                <w:szCs w:val="18"/>
              </w:rPr>
            </w:pPr>
            <w:r>
              <w:rPr>
                <w:rFonts w:hint="eastAsia" w:hAnsi="宋体"/>
                <w:sz w:val="18"/>
                <w:szCs w:val="18"/>
              </w:rPr>
              <w:t>生态环境</w:t>
            </w:r>
          </w:p>
        </w:tc>
        <w:tc>
          <w:tcPr>
            <w:tcW w:w="2073" w:type="dxa"/>
            <w:shd w:val="clear" w:color="auto" w:fill="auto"/>
            <w:vAlign w:val="center"/>
          </w:tcPr>
          <w:p w14:paraId="08D63048">
            <w:pPr>
              <w:pStyle w:val="56"/>
              <w:spacing w:line="280" w:lineRule="exact"/>
              <w:ind w:firstLine="0" w:firstLineChars="0"/>
              <w:jc w:val="center"/>
              <w:rPr>
                <w:rFonts w:hAnsi="宋体"/>
                <w:sz w:val="18"/>
                <w:szCs w:val="18"/>
              </w:rPr>
            </w:pPr>
            <w:r>
              <w:rPr>
                <w:rFonts w:hint="eastAsia" w:hAnsi="宋体"/>
                <w:sz w:val="18"/>
                <w:szCs w:val="18"/>
              </w:rPr>
              <w:t>饮用水水源保护区资料</w:t>
            </w:r>
          </w:p>
        </w:tc>
        <w:tc>
          <w:tcPr>
            <w:tcW w:w="3204" w:type="dxa"/>
            <w:shd w:val="clear" w:color="auto" w:fill="auto"/>
            <w:vAlign w:val="center"/>
          </w:tcPr>
          <w:p w14:paraId="574BD568">
            <w:pPr>
              <w:pStyle w:val="56"/>
              <w:spacing w:line="280" w:lineRule="exact"/>
              <w:ind w:firstLine="0" w:firstLineChars="0"/>
              <w:jc w:val="center"/>
              <w:rPr>
                <w:rFonts w:hAnsi="宋体"/>
                <w:sz w:val="18"/>
                <w:szCs w:val="18"/>
              </w:rPr>
            </w:pPr>
            <w:r>
              <w:rPr>
                <w:rFonts w:hint="eastAsia" w:hAnsi="宋体"/>
                <w:sz w:val="18"/>
                <w:szCs w:val="18"/>
              </w:rPr>
              <w:t>提取公共管制信息</w:t>
            </w:r>
          </w:p>
        </w:tc>
        <w:tc>
          <w:tcPr>
            <w:tcW w:w="2519" w:type="dxa"/>
            <w:shd w:val="clear" w:color="auto" w:fill="auto"/>
            <w:vAlign w:val="center"/>
          </w:tcPr>
          <w:p w14:paraId="72CF2C93">
            <w:pPr>
              <w:pStyle w:val="56"/>
              <w:spacing w:line="280" w:lineRule="exact"/>
              <w:ind w:firstLine="0" w:firstLineChars="0"/>
              <w:jc w:val="center"/>
              <w:rPr>
                <w:rFonts w:hAnsi="宋体"/>
                <w:sz w:val="18"/>
                <w:szCs w:val="18"/>
              </w:rPr>
            </w:pPr>
            <w:r>
              <w:rPr>
                <w:rFonts w:hint="eastAsia" w:hAnsi="宋体"/>
                <w:sz w:val="18"/>
                <w:szCs w:val="18"/>
              </w:rPr>
              <w:t>保护区划分图等</w:t>
            </w:r>
          </w:p>
        </w:tc>
      </w:tr>
      <w:tr w14:paraId="1A67D1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94" w:type="dxa"/>
            <w:shd w:val="clear" w:color="auto" w:fill="auto"/>
            <w:vAlign w:val="center"/>
          </w:tcPr>
          <w:p w14:paraId="073D2B9E">
            <w:pPr>
              <w:pStyle w:val="56"/>
              <w:spacing w:line="280" w:lineRule="exact"/>
              <w:ind w:firstLine="0" w:firstLineChars="0"/>
              <w:jc w:val="center"/>
              <w:rPr>
                <w:rFonts w:hAnsi="宋体"/>
                <w:sz w:val="18"/>
                <w:szCs w:val="18"/>
              </w:rPr>
            </w:pPr>
            <w:r>
              <w:rPr>
                <w:rFonts w:hint="eastAsia" w:hAnsi="宋体"/>
                <w:sz w:val="18"/>
                <w:szCs w:val="18"/>
              </w:rPr>
              <w:t>11</w:t>
            </w:r>
          </w:p>
        </w:tc>
        <w:tc>
          <w:tcPr>
            <w:tcW w:w="1459" w:type="dxa"/>
            <w:vMerge w:val="continue"/>
            <w:shd w:val="clear" w:color="auto" w:fill="auto"/>
            <w:vAlign w:val="center"/>
          </w:tcPr>
          <w:p w14:paraId="45709BA3">
            <w:pPr>
              <w:pStyle w:val="56"/>
              <w:spacing w:line="280" w:lineRule="exact"/>
              <w:ind w:firstLine="360"/>
              <w:jc w:val="center"/>
              <w:rPr>
                <w:rFonts w:hAnsi="宋体"/>
                <w:sz w:val="18"/>
                <w:szCs w:val="18"/>
              </w:rPr>
            </w:pPr>
          </w:p>
        </w:tc>
        <w:tc>
          <w:tcPr>
            <w:tcW w:w="2073" w:type="dxa"/>
            <w:shd w:val="clear" w:color="auto" w:fill="auto"/>
            <w:vAlign w:val="center"/>
          </w:tcPr>
          <w:p w14:paraId="004B7C74">
            <w:pPr>
              <w:pStyle w:val="56"/>
              <w:spacing w:line="280" w:lineRule="exact"/>
              <w:ind w:firstLine="0" w:firstLineChars="0"/>
              <w:jc w:val="center"/>
              <w:rPr>
                <w:rFonts w:hAnsi="宋体"/>
                <w:sz w:val="18"/>
                <w:szCs w:val="18"/>
              </w:rPr>
            </w:pPr>
            <w:r>
              <w:rPr>
                <w:rFonts w:hint="eastAsia" w:hAnsi="宋体"/>
                <w:sz w:val="18"/>
                <w:szCs w:val="18"/>
              </w:rPr>
              <w:t>排污许可资料</w:t>
            </w:r>
          </w:p>
        </w:tc>
        <w:tc>
          <w:tcPr>
            <w:tcW w:w="3204" w:type="dxa"/>
            <w:shd w:val="clear" w:color="auto" w:fill="auto"/>
            <w:vAlign w:val="center"/>
          </w:tcPr>
          <w:p w14:paraId="667D8854">
            <w:pPr>
              <w:pStyle w:val="56"/>
              <w:spacing w:line="280" w:lineRule="exact"/>
              <w:ind w:firstLine="0" w:firstLineChars="0"/>
              <w:jc w:val="center"/>
              <w:rPr>
                <w:rFonts w:hAnsi="宋体"/>
                <w:sz w:val="18"/>
                <w:szCs w:val="18"/>
              </w:rPr>
            </w:pPr>
            <w:r>
              <w:rPr>
                <w:rFonts w:hint="eastAsia" w:hAnsi="宋体"/>
                <w:sz w:val="18"/>
                <w:szCs w:val="18"/>
              </w:rPr>
              <w:t>提取公共管制信息</w:t>
            </w:r>
          </w:p>
        </w:tc>
        <w:tc>
          <w:tcPr>
            <w:tcW w:w="2519" w:type="dxa"/>
            <w:shd w:val="clear" w:color="auto" w:fill="auto"/>
            <w:vAlign w:val="center"/>
          </w:tcPr>
          <w:p w14:paraId="02A7CA71">
            <w:pPr>
              <w:pStyle w:val="56"/>
              <w:spacing w:line="280" w:lineRule="exact"/>
              <w:ind w:firstLine="0" w:firstLineChars="0"/>
              <w:jc w:val="center"/>
              <w:rPr>
                <w:rFonts w:hAnsi="宋体"/>
                <w:sz w:val="18"/>
                <w:szCs w:val="18"/>
              </w:rPr>
            </w:pPr>
            <w:r>
              <w:rPr>
                <w:rFonts w:hAnsi="宋体"/>
                <w:sz w:val="18"/>
                <w:szCs w:val="18"/>
              </w:rPr>
              <w:t>排污许可审批、矢量和文本图件等资料</w:t>
            </w:r>
          </w:p>
        </w:tc>
      </w:tr>
      <w:tr w14:paraId="09EA5D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8" w:hRule="atLeast"/>
          <w:jc w:val="center"/>
        </w:trPr>
        <w:tc>
          <w:tcPr>
            <w:tcW w:w="494" w:type="dxa"/>
            <w:shd w:val="clear" w:color="auto" w:fill="auto"/>
            <w:vAlign w:val="center"/>
          </w:tcPr>
          <w:p w14:paraId="0C46241E">
            <w:pPr>
              <w:pStyle w:val="56"/>
              <w:spacing w:line="280" w:lineRule="exact"/>
              <w:ind w:firstLine="0" w:firstLineChars="0"/>
              <w:jc w:val="center"/>
              <w:rPr>
                <w:rFonts w:hAnsi="宋体"/>
                <w:sz w:val="18"/>
                <w:szCs w:val="18"/>
              </w:rPr>
            </w:pPr>
            <w:r>
              <w:rPr>
                <w:rFonts w:hint="eastAsia" w:hAnsi="宋体"/>
                <w:sz w:val="18"/>
                <w:szCs w:val="18"/>
              </w:rPr>
              <w:t>12</w:t>
            </w:r>
          </w:p>
        </w:tc>
        <w:tc>
          <w:tcPr>
            <w:tcW w:w="1459" w:type="dxa"/>
            <w:vMerge w:val="continue"/>
            <w:shd w:val="clear" w:color="auto" w:fill="auto"/>
            <w:vAlign w:val="center"/>
          </w:tcPr>
          <w:p w14:paraId="36D6C972">
            <w:pPr>
              <w:pStyle w:val="56"/>
              <w:spacing w:line="280" w:lineRule="exact"/>
              <w:ind w:firstLine="360"/>
              <w:jc w:val="center"/>
              <w:rPr>
                <w:rFonts w:hAnsi="宋体"/>
                <w:sz w:val="18"/>
                <w:szCs w:val="18"/>
              </w:rPr>
            </w:pPr>
          </w:p>
        </w:tc>
        <w:tc>
          <w:tcPr>
            <w:tcW w:w="2073" w:type="dxa"/>
            <w:shd w:val="clear" w:color="auto" w:fill="auto"/>
            <w:vAlign w:val="center"/>
          </w:tcPr>
          <w:p w14:paraId="1F05104B">
            <w:pPr>
              <w:pStyle w:val="56"/>
              <w:spacing w:line="280" w:lineRule="exact"/>
              <w:ind w:firstLine="0" w:firstLineChars="0"/>
              <w:jc w:val="center"/>
              <w:rPr>
                <w:rFonts w:hAnsi="宋体"/>
                <w:sz w:val="18"/>
                <w:szCs w:val="18"/>
              </w:rPr>
            </w:pPr>
            <w:r>
              <w:rPr>
                <w:rFonts w:hint="eastAsia" w:hAnsi="宋体"/>
                <w:sz w:val="18"/>
                <w:szCs w:val="18"/>
              </w:rPr>
              <w:t>水质监测成果</w:t>
            </w:r>
          </w:p>
        </w:tc>
        <w:tc>
          <w:tcPr>
            <w:tcW w:w="3204" w:type="dxa"/>
            <w:shd w:val="clear" w:color="auto" w:fill="auto"/>
            <w:vAlign w:val="center"/>
          </w:tcPr>
          <w:p w14:paraId="64EB6AD0">
            <w:pPr>
              <w:pStyle w:val="56"/>
              <w:spacing w:line="280" w:lineRule="exact"/>
              <w:ind w:firstLine="0" w:firstLineChars="0"/>
              <w:jc w:val="center"/>
              <w:rPr>
                <w:rFonts w:hAnsi="宋体"/>
                <w:sz w:val="18"/>
                <w:szCs w:val="18"/>
              </w:rPr>
            </w:pPr>
            <w:r>
              <w:rPr>
                <w:rFonts w:hint="eastAsia" w:hAnsi="宋体"/>
                <w:sz w:val="18"/>
                <w:szCs w:val="18"/>
              </w:rPr>
              <w:t>提取登记单元内水质信息</w:t>
            </w:r>
          </w:p>
        </w:tc>
        <w:tc>
          <w:tcPr>
            <w:tcW w:w="2519" w:type="dxa"/>
            <w:shd w:val="clear" w:color="auto" w:fill="auto"/>
            <w:vAlign w:val="center"/>
          </w:tcPr>
          <w:p w14:paraId="161F7F9F">
            <w:pPr>
              <w:pStyle w:val="56"/>
              <w:spacing w:line="280" w:lineRule="exact"/>
              <w:ind w:firstLine="360"/>
              <w:jc w:val="center"/>
              <w:rPr>
                <w:rFonts w:hAnsi="宋体"/>
                <w:sz w:val="18"/>
                <w:szCs w:val="18"/>
              </w:rPr>
            </w:pPr>
          </w:p>
        </w:tc>
      </w:tr>
      <w:tr w14:paraId="54EC65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94" w:type="dxa"/>
            <w:shd w:val="clear" w:color="auto" w:fill="auto"/>
            <w:vAlign w:val="center"/>
          </w:tcPr>
          <w:p w14:paraId="4C6EB388">
            <w:pPr>
              <w:pStyle w:val="56"/>
              <w:spacing w:line="280" w:lineRule="exact"/>
              <w:ind w:firstLine="0" w:firstLineChars="0"/>
              <w:jc w:val="center"/>
              <w:rPr>
                <w:rFonts w:hAnsi="宋体"/>
                <w:sz w:val="18"/>
                <w:szCs w:val="18"/>
              </w:rPr>
            </w:pPr>
            <w:r>
              <w:rPr>
                <w:rFonts w:hint="eastAsia" w:hAnsi="宋体"/>
                <w:sz w:val="18"/>
                <w:szCs w:val="18"/>
              </w:rPr>
              <w:t>13</w:t>
            </w:r>
          </w:p>
        </w:tc>
        <w:tc>
          <w:tcPr>
            <w:tcW w:w="1459" w:type="dxa"/>
            <w:vMerge w:val="restart"/>
            <w:shd w:val="clear" w:color="auto" w:fill="auto"/>
            <w:vAlign w:val="center"/>
          </w:tcPr>
          <w:p w14:paraId="062EA1AD">
            <w:pPr>
              <w:pStyle w:val="56"/>
              <w:spacing w:line="280" w:lineRule="exact"/>
              <w:ind w:firstLine="0" w:firstLineChars="0"/>
              <w:jc w:val="center"/>
              <w:rPr>
                <w:rFonts w:hAnsi="宋体"/>
                <w:sz w:val="18"/>
                <w:szCs w:val="18"/>
              </w:rPr>
            </w:pPr>
            <w:r>
              <w:rPr>
                <w:rFonts w:hint="eastAsia" w:hAnsi="宋体"/>
                <w:sz w:val="18"/>
                <w:szCs w:val="18"/>
              </w:rPr>
              <w:t>水利</w:t>
            </w:r>
          </w:p>
        </w:tc>
        <w:tc>
          <w:tcPr>
            <w:tcW w:w="2073" w:type="dxa"/>
            <w:shd w:val="clear" w:color="auto" w:fill="auto"/>
            <w:vAlign w:val="center"/>
          </w:tcPr>
          <w:p w14:paraId="2B295B5B">
            <w:pPr>
              <w:pStyle w:val="56"/>
              <w:spacing w:line="280" w:lineRule="exact"/>
              <w:ind w:firstLine="0" w:firstLineChars="0"/>
              <w:jc w:val="center"/>
              <w:rPr>
                <w:rFonts w:hAnsi="宋体"/>
                <w:sz w:val="18"/>
                <w:szCs w:val="18"/>
              </w:rPr>
            </w:pPr>
            <w:r>
              <w:rPr>
                <w:rFonts w:hint="eastAsia" w:hAnsi="宋体"/>
                <w:sz w:val="18"/>
                <w:szCs w:val="18"/>
              </w:rPr>
              <w:t>河湖划界成果</w:t>
            </w:r>
          </w:p>
        </w:tc>
        <w:tc>
          <w:tcPr>
            <w:tcW w:w="3204" w:type="dxa"/>
            <w:shd w:val="clear" w:color="auto" w:fill="auto"/>
            <w:vAlign w:val="center"/>
          </w:tcPr>
          <w:p w14:paraId="3C5F7D1B">
            <w:pPr>
              <w:pStyle w:val="56"/>
              <w:spacing w:line="280" w:lineRule="exact"/>
              <w:ind w:firstLine="0" w:firstLineChars="0"/>
              <w:jc w:val="center"/>
              <w:rPr>
                <w:rFonts w:hAnsi="宋体"/>
                <w:strike/>
                <w:sz w:val="18"/>
                <w:szCs w:val="18"/>
              </w:rPr>
            </w:pPr>
            <w:r>
              <w:rPr>
                <w:rFonts w:hint="eastAsia" w:hAnsi="宋体"/>
                <w:sz w:val="18"/>
                <w:szCs w:val="18"/>
              </w:rPr>
              <w:t>用于登记单元划分</w:t>
            </w:r>
          </w:p>
        </w:tc>
        <w:tc>
          <w:tcPr>
            <w:tcW w:w="2519" w:type="dxa"/>
            <w:shd w:val="clear" w:color="auto" w:fill="auto"/>
            <w:vAlign w:val="center"/>
          </w:tcPr>
          <w:p w14:paraId="707E1B72">
            <w:pPr>
              <w:pStyle w:val="56"/>
              <w:spacing w:line="280" w:lineRule="exact"/>
              <w:ind w:firstLine="0" w:firstLineChars="0"/>
              <w:jc w:val="center"/>
              <w:rPr>
                <w:rFonts w:hAnsi="宋体"/>
                <w:sz w:val="18"/>
                <w:szCs w:val="18"/>
              </w:rPr>
            </w:pPr>
            <w:r>
              <w:rPr>
                <w:rFonts w:hint="eastAsia" w:hAnsi="宋体"/>
                <w:sz w:val="18"/>
                <w:szCs w:val="18"/>
              </w:rPr>
              <w:t>包括堤防、水域岸线和管理范围等。</w:t>
            </w:r>
          </w:p>
        </w:tc>
      </w:tr>
      <w:tr w14:paraId="03BFFC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94" w:type="dxa"/>
            <w:shd w:val="clear" w:color="auto" w:fill="auto"/>
            <w:vAlign w:val="center"/>
          </w:tcPr>
          <w:p w14:paraId="08E38027">
            <w:pPr>
              <w:pStyle w:val="56"/>
              <w:spacing w:line="280" w:lineRule="exact"/>
              <w:ind w:firstLine="0" w:firstLineChars="0"/>
              <w:jc w:val="center"/>
              <w:rPr>
                <w:rFonts w:hAnsi="宋体"/>
                <w:sz w:val="18"/>
                <w:szCs w:val="18"/>
              </w:rPr>
            </w:pPr>
            <w:r>
              <w:rPr>
                <w:rFonts w:hint="eastAsia" w:hAnsi="宋体"/>
                <w:sz w:val="18"/>
                <w:szCs w:val="18"/>
              </w:rPr>
              <w:t>14</w:t>
            </w:r>
          </w:p>
        </w:tc>
        <w:tc>
          <w:tcPr>
            <w:tcW w:w="1459" w:type="dxa"/>
            <w:vMerge w:val="continue"/>
            <w:shd w:val="clear" w:color="auto" w:fill="auto"/>
            <w:vAlign w:val="center"/>
          </w:tcPr>
          <w:p w14:paraId="48DB1CCB">
            <w:pPr>
              <w:pStyle w:val="56"/>
              <w:spacing w:line="280" w:lineRule="exact"/>
              <w:ind w:firstLine="360"/>
              <w:jc w:val="center"/>
              <w:rPr>
                <w:rFonts w:hAnsi="宋体"/>
                <w:sz w:val="18"/>
                <w:szCs w:val="18"/>
              </w:rPr>
            </w:pPr>
          </w:p>
        </w:tc>
        <w:tc>
          <w:tcPr>
            <w:tcW w:w="2073" w:type="dxa"/>
            <w:shd w:val="clear" w:color="auto" w:fill="auto"/>
            <w:vAlign w:val="center"/>
          </w:tcPr>
          <w:p w14:paraId="69F4F051">
            <w:pPr>
              <w:pStyle w:val="56"/>
              <w:spacing w:line="280" w:lineRule="exact"/>
              <w:ind w:firstLine="0" w:firstLineChars="0"/>
              <w:jc w:val="center"/>
              <w:rPr>
                <w:rFonts w:hAnsi="宋体"/>
                <w:sz w:val="18"/>
                <w:szCs w:val="18"/>
              </w:rPr>
            </w:pPr>
            <w:r>
              <w:rPr>
                <w:rFonts w:hint="eastAsia" w:hAnsi="宋体"/>
                <w:sz w:val="18"/>
                <w:szCs w:val="18"/>
              </w:rPr>
              <w:t>水利普查、水资源调查评价等成果资料</w:t>
            </w:r>
          </w:p>
        </w:tc>
        <w:tc>
          <w:tcPr>
            <w:tcW w:w="3204" w:type="dxa"/>
            <w:shd w:val="clear" w:color="auto" w:fill="auto"/>
            <w:vAlign w:val="center"/>
          </w:tcPr>
          <w:p w14:paraId="2C165E4F">
            <w:pPr>
              <w:pStyle w:val="56"/>
              <w:spacing w:line="280" w:lineRule="exact"/>
              <w:ind w:firstLine="0" w:firstLineChars="0"/>
              <w:jc w:val="center"/>
              <w:rPr>
                <w:rFonts w:hAnsi="宋体"/>
                <w:sz w:val="18"/>
                <w:szCs w:val="18"/>
              </w:rPr>
            </w:pPr>
            <w:r>
              <w:rPr>
                <w:rFonts w:hint="eastAsia" w:hAnsi="宋体"/>
                <w:sz w:val="18"/>
                <w:szCs w:val="18"/>
              </w:rPr>
              <w:t>提供水质信息和相关保护信息</w:t>
            </w:r>
          </w:p>
        </w:tc>
        <w:tc>
          <w:tcPr>
            <w:tcW w:w="2519" w:type="dxa"/>
            <w:shd w:val="clear" w:color="auto" w:fill="auto"/>
            <w:vAlign w:val="center"/>
          </w:tcPr>
          <w:p w14:paraId="5AABC6E9">
            <w:pPr>
              <w:pStyle w:val="56"/>
              <w:spacing w:line="280" w:lineRule="exact"/>
              <w:ind w:firstLine="360"/>
              <w:jc w:val="center"/>
              <w:rPr>
                <w:rFonts w:hAnsi="宋体"/>
                <w:sz w:val="18"/>
                <w:szCs w:val="18"/>
              </w:rPr>
            </w:pPr>
          </w:p>
        </w:tc>
      </w:tr>
      <w:tr w14:paraId="2A46C4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6" w:hRule="atLeast"/>
          <w:jc w:val="center"/>
        </w:trPr>
        <w:tc>
          <w:tcPr>
            <w:tcW w:w="494" w:type="dxa"/>
            <w:shd w:val="clear" w:color="auto" w:fill="auto"/>
            <w:vAlign w:val="center"/>
          </w:tcPr>
          <w:p w14:paraId="2425611D">
            <w:pPr>
              <w:pStyle w:val="56"/>
              <w:spacing w:line="280" w:lineRule="exact"/>
              <w:ind w:firstLine="0" w:firstLineChars="0"/>
              <w:jc w:val="center"/>
              <w:rPr>
                <w:rFonts w:hAnsi="宋体"/>
                <w:sz w:val="18"/>
                <w:szCs w:val="18"/>
              </w:rPr>
            </w:pPr>
            <w:r>
              <w:rPr>
                <w:rFonts w:hint="eastAsia" w:hAnsi="宋体"/>
                <w:sz w:val="18"/>
                <w:szCs w:val="18"/>
              </w:rPr>
              <w:t>15</w:t>
            </w:r>
          </w:p>
        </w:tc>
        <w:tc>
          <w:tcPr>
            <w:tcW w:w="1459" w:type="dxa"/>
            <w:vMerge w:val="continue"/>
            <w:shd w:val="clear" w:color="auto" w:fill="auto"/>
            <w:vAlign w:val="center"/>
          </w:tcPr>
          <w:p w14:paraId="6E3260CB">
            <w:pPr>
              <w:pStyle w:val="56"/>
              <w:spacing w:line="280" w:lineRule="exact"/>
              <w:ind w:firstLine="360"/>
              <w:jc w:val="center"/>
              <w:rPr>
                <w:rFonts w:hAnsi="宋体"/>
                <w:sz w:val="18"/>
                <w:szCs w:val="18"/>
              </w:rPr>
            </w:pPr>
          </w:p>
        </w:tc>
        <w:tc>
          <w:tcPr>
            <w:tcW w:w="2073" w:type="dxa"/>
            <w:shd w:val="clear" w:color="auto" w:fill="auto"/>
            <w:vAlign w:val="center"/>
          </w:tcPr>
          <w:p w14:paraId="21BFF5FB">
            <w:pPr>
              <w:pStyle w:val="56"/>
              <w:spacing w:line="280" w:lineRule="exact"/>
              <w:ind w:firstLine="0" w:firstLineChars="0"/>
              <w:jc w:val="center"/>
              <w:rPr>
                <w:rFonts w:hAnsi="宋体"/>
                <w:sz w:val="18"/>
                <w:szCs w:val="18"/>
              </w:rPr>
            </w:pPr>
            <w:r>
              <w:rPr>
                <w:rFonts w:hint="eastAsia" w:hAnsi="宋体"/>
                <w:sz w:val="18"/>
                <w:szCs w:val="18"/>
              </w:rPr>
              <w:t>取水许可资料</w:t>
            </w:r>
          </w:p>
        </w:tc>
        <w:tc>
          <w:tcPr>
            <w:tcW w:w="3204" w:type="dxa"/>
            <w:shd w:val="clear" w:color="auto" w:fill="auto"/>
            <w:vAlign w:val="center"/>
          </w:tcPr>
          <w:p w14:paraId="47F2D0C2">
            <w:pPr>
              <w:pStyle w:val="56"/>
              <w:spacing w:line="280" w:lineRule="exact"/>
              <w:ind w:firstLine="0" w:firstLineChars="0"/>
              <w:jc w:val="center"/>
              <w:rPr>
                <w:rFonts w:hAnsi="宋体"/>
                <w:sz w:val="18"/>
                <w:szCs w:val="18"/>
              </w:rPr>
            </w:pPr>
            <w:r>
              <w:rPr>
                <w:rFonts w:hint="eastAsia" w:hAnsi="宋体"/>
                <w:sz w:val="18"/>
                <w:szCs w:val="18"/>
              </w:rPr>
              <w:t>对取水权进行关联</w:t>
            </w:r>
          </w:p>
        </w:tc>
        <w:tc>
          <w:tcPr>
            <w:tcW w:w="2519" w:type="dxa"/>
            <w:shd w:val="clear" w:color="auto" w:fill="auto"/>
            <w:vAlign w:val="center"/>
          </w:tcPr>
          <w:p w14:paraId="3CE4C859">
            <w:pPr>
              <w:pStyle w:val="56"/>
              <w:spacing w:line="280" w:lineRule="exact"/>
              <w:ind w:firstLine="360"/>
              <w:jc w:val="center"/>
              <w:rPr>
                <w:rFonts w:hAnsi="宋体"/>
                <w:sz w:val="18"/>
                <w:szCs w:val="18"/>
              </w:rPr>
            </w:pPr>
          </w:p>
        </w:tc>
      </w:tr>
      <w:tr w14:paraId="7C4D16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69" w:hRule="atLeast"/>
          <w:jc w:val="center"/>
        </w:trPr>
        <w:tc>
          <w:tcPr>
            <w:tcW w:w="494" w:type="dxa"/>
            <w:shd w:val="clear" w:color="auto" w:fill="auto"/>
            <w:vAlign w:val="center"/>
          </w:tcPr>
          <w:p w14:paraId="78A5F220">
            <w:pPr>
              <w:pStyle w:val="56"/>
              <w:spacing w:line="280" w:lineRule="exact"/>
              <w:ind w:firstLine="0" w:firstLineChars="0"/>
              <w:jc w:val="center"/>
              <w:rPr>
                <w:rFonts w:hAnsi="宋体"/>
                <w:sz w:val="18"/>
                <w:szCs w:val="18"/>
              </w:rPr>
            </w:pPr>
            <w:r>
              <w:rPr>
                <w:rFonts w:hint="eastAsia" w:hAnsi="宋体"/>
                <w:sz w:val="18"/>
                <w:szCs w:val="18"/>
              </w:rPr>
              <w:t>16</w:t>
            </w:r>
          </w:p>
        </w:tc>
        <w:tc>
          <w:tcPr>
            <w:tcW w:w="1459" w:type="dxa"/>
            <w:vMerge w:val="continue"/>
            <w:shd w:val="clear" w:color="auto" w:fill="auto"/>
            <w:vAlign w:val="center"/>
          </w:tcPr>
          <w:p w14:paraId="4CD902E9">
            <w:pPr>
              <w:pStyle w:val="56"/>
              <w:spacing w:line="280" w:lineRule="exact"/>
              <w:ind w:firstLine="360"/>
              <w:jc w:val="center"/>
              <w:rPr>
                <w:rFonts w:hAnsi="宋体"/>
                <w:sz w:val="18"/>
                <w:szCs w:val="18"/>
              </w:rPr>
            </w:pPr>
          </w:p>
        </w:tc>
        <w:tc>
          <w:tcPr>
            <w:tcW w:w="2073" w:type="dxa"/>
            <w:shd w:val="clear" w:color="auto" w:fill="auto"/>
            <w:vAlign w:val="center"/>
          </w:tcPr>
          <w:p w14:paraId="2856584D">
            <w:pPr>
              <w:pStyle w:val="56"/>
              <w:spacing w:line="280" w:lineRule="exact"/>
              <w:ind w:firstLine="0" w:firstLineChars="0"/>
              <w:jc w:val="center"/>
              <w:rPr>
                <w:rFonts w:hAnsi="宋体"/>
                <w:sz w:val="18"/>
                <w:szCs w:val="18"/>
              </w:rPr>
            </w:pPr>
            <w:r>
              <w:rPr>
                <w:rFonts w:hint="eastAsia" w:hAnsi="宋体"/>
                <w:sz w:val="18"/>
                <w:szCs w:val="18"/>
              </w:rPr>
              <w:t>水利工程划界成果</w:t>
            </w:r>
          </w:p>
        </w:tc>
        <w:tc>
          <w:tcPr>
            <w:tcW w:w="3204" w:type="dxa"/>
            <w:shd w:val="clear" w:color="auto" w:fill="auto"/>
            <w:vAlign w:val="center"/>
          </w:tcPr>
          <w:p w14:paraId="6F9DC96C">
            <w:pPr>
              <w:pStyle w:val="56"/>
              <w:spacing w:line="280" w:lineRule="exact"/>
              <w:ind w:firstLine="0" w:firstLineChars="0"/>
              <w:jc w:val="center"/>
              <w:rPr>
                <w:rFonts w:hAnsi="宋体"/>
                <w:sz w:val="18"/>
                <w:szCs w:val="18"/>
              </w:rPr>
            </w:pPr>
            <w:r>
              <w:rPr>
                <w:rFonts w:hint="eastAsia" w:hAnsi="宋体"/>
                <w:sz w:val="18"/>
                <w:szCs w:val="18"/>
              </w:rPr>
              <w:t>用于登记单元划分</w:t>
            </w:r>
          </w:p>
        </w:tc>
        <w:tc>
          <w:tcPr>
            <w:tcW w:w="2519" w:type="dxa"/>
            <w:shd w:val="clear" w:color="auto" w:fill="auto"/>
            <w:vAlign w:val="center"/>
          </w:tcPr>
          <w:p w14:paraId="0138E6B3">
            <w:pPr>
              <w:pStyle w:val="56"/>
              <w:spacing w:line="280" w:lineRule="exact"/>
              <w:ind w:firstLine="360"/>
              <w:jc w:val="center"/>
              <w:rPr>
                <w:rFonts w:hAnsi="宋体"/>
                <w:sz w:val="18"/>
                <w:szCs w:val="18"/>
              </w:rPr>
            </w:pPr>
          </w:p>
        </w:tc>
      </w:tr>
      <w:tr w14:paraId="4A814C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69" w:hRule="atLeast"/>
          <w:jc w:val="center"/>
        </w:trPr>
        <w:tc>
          <w:tcPr>
            <w:tcW w:w="494" w:type="dxa"/>
            <w:shd w:val="clear" w:color="auto" w:fill="auto"/>
            <w:vAlign w:val="center"/>
          </w:tcPr>
          <w:p w14:paraId="63C41DCD">
            <w:pPr>
              <w:pStyle w:val="56"/>
              <w:spacing w:line="280" w:lineRule="exact"/>
              <w:ind w:firstLine="0" w:firstLineChars="0"/>
              <w:jc w:val="center"/>
              <w:rPr>
                <w:rFonts w:hAnsi="宋体"/>
                <w:sz w:val="18"/>
                <w:szCs w:val="18"/>
              </w:rPr>
            </w:pPr>
            <w:r>
              <w:rPr>
                <w:rFonts w:hint="eastAsia" w:hAnsi="宋体"/>
                <w:sz w:val="18"/>
                <w:szCs w:val="18"/>
              </w:rPr>
              <w:t>17</w:t>
            </w:r>
          </w:p>
        </w:tc>
        <w:tc>
          <w:tcPr>
            <w:tcW w:w="1459" w:type="dxa"/>
            <w:vMerge w:val="continue"/>
            <w:shd w:val="clear" w:color="auto" w:fill="auto"/>
            <w:vAlign w:val="center"/>
          </w:tcPr>
          <w:p w14:paraId="7593CAF3">
            <w:pPr>
              <w:pStyle w:val="56"/>
              <w:spacing w:line="280" w:lineRule="exact"/>
              <w:ind w:firstLine="360"/>
              <w:jc w:val="center"/>
              <w:rPr>
                <w:rFonts w:hAnsi="宋体"/>
                <w:sz w:val="18"/>
                <w:szCs w:val="18"/>
              </w:rPr>
            </w:pPr>
          </w:p>
        </w:tc>
        <w:tc>
          <w:tcPr>
            <w:tcW w:w="2073" w:type="dxa"/>
            <w:shd w:val="clear" w:color="auto" w:fill="auto"/>
            <w:vAlign w:val="center"/>
          </w:tcPr>
          <w:p w14:paraId="15C96E48">
            <w:pPr>
              <w:pStyle w:val="56"/>
              <w:spacing w:line="280" w:lineRule="exact"/>
              <w:ind w:firstLine="0" w:firstLineChars="0"/>
              <w:jc w:val="center"/>
              <w:rPr>
                <w:rFonts w:hAnsi="宋体"/>
                <w:sz w:val="18"/>
                <w:szCs w:val="18"/>
              </w:rPr>
            </w:pPr>
            <w:r>
              <w:rPr>
                <w:rFonts w:hint="eastAsia" w:hAnsi="宋体"/>
                <w:sz w:val="18"/>
                <w:szCs w:val="18"/>
              </w:rPr>
              <w:t>设计洪水位线、最高洪水位线</w:t>
            </w:r>
          </w:p>
        </w:tc>
        <w:tc>
          <w:tcPr>
            <w:tcW w:w="3204" w:type="dxa"/>
            <w:shd w:val="clear" w:color="auto" w:fill="auto"/>
            <w:vAlign w:val="center"/>
          </w:tcPr>
          <w:p w14:paraId="1DF9B86B">
            <w:pPr>
              <w:pStyle w:val="56"/>
              <w:spacing w:line="280" w:lineRule="exact"/>
              <w:ind w:firstLine="0" w:firstLineChars="0"/>
              <w:jc w:val="center"/>
              <w:rPr>
                <w:rFonts w:hAnsi="宋体"/>
                <w:sz w:val="18"/>
                <w:szCs w:val="18"/>
              </w:rPr>
            </w:pPr>
            <w:r>
              <w:rPr>
                <w:rFonts w:hint="eastAsia" w:hAnsi="宋体"/>
                <w:sz w:val="18"/>
                <w:szCs w:val="18"/>
              </w:rPr>
              <w:t>用于登记单元划分</w:t>
            </w:r>
          </w:p>
        </w:tc>
        <w:tc>
          <w:tcPr>
            <w:tcW w:w="2519" w:type="dxa"/>
            <w:shd w:val="clear" w:color="auto" w:fill="auto"/>
            <w:vAlign w:val="center"/>
          </w:tcPr>
          <w:p w14:paraId="508981F4">
            <w:pPr>
              <w:pStyle w:val="56"/>
              <w:spacing w:line="280" w:lineRule="exact"/>
              <w:ind w:firstLine="360"/>
              <w:jc w:val="center"/>
              <w:rPr>
                <w:rFonts w:hAnsi="宋体"/>
                <w:sz w:val="18"/>
                <w:szCs w:val="18"/>
              </w:rPr>
            </w:pPr>
          </w:p>
        </w:tc>
      </w:tr>
      <w:tr w14:paraId="0ECC24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94" w:type="dxa"/>
            <w:shd w:val="clear" w:color="auto" w:fill="auto"/>
            <w:vAlign w:val="center"/>
          </w:tcPr>
          <w:p w14:paraId="79AD4CA4">
            <w:pPr>
              <w:pStyle w:val="56"/>
              <w:spacing w:line="280" w:lineRule="exact"/>
              <w:ind w:firstLine="0" w:firstLineChars="0"/>
              <w:jc w:val="center"/>
              <w:rPr>
                <w:rFonts w:hAnsi="宋体"/>
                <w:sz w:val="18"/>
                <w:szCs w:val="18"/>
              </w:rPr>
            </w:pPr>
            <w:r>
              <w:rPr>
                <w:rFonts w:hint="eastAsia" w:hAnsi="宋体"/>
                <w:sz w:val="18"/>
                <w:szCs w:val="18"/>
              </w:rPr>
              <w:t>1</w:t>
            </w:r>
            <w:r>
              <w:rPr>
                <w:rFonts w:hAnsi="宋体"/>
                <w:sz w:val="18"/>
                <w:szCs w:val="18"/>
              </w:rPr>
              <w:t>8</w:t>
            </w:r>
          </w:p>
        </w:tc>
        <w:tc>
          <w:tcPr>
            <w:tcW w:w="1459" w:type="dxa"/>
            <w:shd w:val="clear" w:color="auto" w:fill="auto"/>
            <w:vAlign w:val="center"/>
          </w:tcPr>
          <w:p w14:paraId="14822BF0">
            <w:pPr>
              <w:pStyle w:val="56"/>
              <w:spacing w:line="280" w:lineRule="exact"/>
              <w:ind w:firstLine="0" w:firstLineChars="0"/>
              <w:jc w:val="center"/>
              <w:rPr>
                <w:rFonts w:hAnsi="宋体"/>
                <w:sz w:val="18"/>
                <w:szCs w:val="18"/>
              </w:rPr>
            </w:pPr>
            <w:r>
              <w:rPr>
                <w:rFonts w:hint="eastAsia" w:hAnsi="宋体"/>
                <w:sz w:val="18"/>
                <w:szCs w:val="18"/>
              </w:rPr>
              <w:t>人民政府、</w:t>
            </w:r>
          </w:p>
          <w:p w14:paraId="1EBFD2FC">
            <w:pPr>
              <w:pStyle w:val="56"/>
              <w:spacing w:line="280" w:lineRule="exact"/>
              <w:ind w:firstLine="0" w:firstLineChars="0"/>
              <w:jc w:val="center"/>
              <w:rPr>
                <w:rFonts w:hAnsi="宋体"/>
                <w:sz w:val="18"/>
                <w:szCs w:val="18"/>
              </w:rPr>
            </w:pPr>
            <w:r>
              <w:rPr>
                <w:rFonts w:hint="eastAsia" w:hAnsi="宋体"/>
                <w:sz w:val="18"/>
                <w:szCs w:val="18"/>
              </w:rPr>
              <w:t>人民法院</w:t>
            </w:r>
          </w:p>
        </w:tc>
        <w:tc>
          <w:tcPr>
            <w:tcW w:w="2073" w:type="dxa"/>
            <w:shd w:val="clear" w:color="auto" w:fill="auto"/>
            <w:vAlign w:val="center"/>
          </w:tcPr>
          <w:p w14:paraId="002AA651">
            <w:pPr>
              <w:pStyle w:val="56"/>
              <w:spacing w:line="280" w:lineRule="exact"/>
              <w:ind w:firstLine="0" w:firstLineChars="0"/>
              <w:jc w:val="center"/>
              <w:rPr>
                <w:rFonts w:hAnsi="宋体"/>
                <w:sz w:val="18"/>
                <w:szCs w:val="18"/>
              </w:rPr>
            </w:pPr>
            <w:r>
              <w:rPr>
                <w:rFonts w:hint="eastAsia" w:hAnsi="宋体"/>
                <w:sz w:val="18"/>
                <w:szCs w:val="18"/>
              </w:rPr>
              <w:t>自然资源权属争议的处理决定、及判决文书等资料</w:t>
            </w:r>
          </w:p>
        </w:tc>
        <w:tc>
          <w:tcPr>
            <w:tcW w:w="3204" w:type="dxa"/>
            <w:shd w:val="clear" w:color="auto" w:fill="auto"/>
            <w:vAlign w:val="center"/>
          </w:tcPr>
          <w:p w14:paraId="3C1FCB64">
            <w:pPr>
              <w:pStyle w:val="56"/>
              <w:spacing w:line="280" w:lineRule="exact"/>
              <w:ind w:firstLine="0" w:firstLineChars="0"/>
              <w:jc w:val="center"/>
              <w:rPr>
                <w:rFonts w:hAnsi="宋体"/>
                <w:sz w:val="18"/>
                <w:szCs w:val="18"/>
              </w:rPr>
            </w:pPr>
            <w:r>
              <w:rPr>
                <w:rFonts w:hint="eastAsia" w:hAnsi="宋体"/>
                <w:sz w:val="18"/>
                <w:szCs w:val="18"/>
              </w:rPr>
              <w:t>确认自然资源权属</w:t>
            </w:r>
          </w:p>
        </w:tc>
        <w:tc>
          <w:tcPr>
            <w:tcW w:w="2519" w:type="dxa"/>
            <w:shd w:val="clear" w:color="auto" w:fill="auto"/>
            <w:vAlign w:val="center"/>
          </w:tcPr>
          <w:p w14:paraId="4C346991">
            <w:pPr>
              <w:pStyle w:val="56"/>
              <w:spacing w:line="280" w:lineRule="exact"/>
              <w:ind w:firstLine="360"/>
              <w:jc w:val="center"/>
              <w:rPr>
                <w:rFonts w:hAnsi="宋体"/>
                <w:sz w:val="18"/>
                <w:szCs w:val="18"/>
              </w:rPr>
            </w:pPr>
          </w:p>
        </w:tc>
      </w:tr>
      <w:tr w14:paraId="20A8B5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94" w:type="dxa"/>
            <w:tcBorders>
              <w:bottom w:val="single" w:color="auto" w:sz="8" w:space="0"/>
            </w:tcBorders>
            <w:shd w:val="clear" w:color="auto" w:fill="auto"/>
            <w:vAlign w:val="center"/>
          </w:tcPr>
          <w:p w14:paraId="6247DC4E">
            <w:pPr>
              <w:pStyle w:val="56"/>
              <w:spacing w:line="280" w:lineRule="exact"/>
              <w:ind w:firstLine="0" w:firstLineChars="0"/>
              <w:jc w:val="center"/>
              <w:rPr>
                <w:rFonts w:hAnsi="宋体"/>
                <w:sz w:val="18"/>
                <w:szCs w:val="18"/>
              </w:rPr>
            </w:pPr>
            <w:r>
              <w:rPr>
                <w:rFonts w:hint="eastAsia" w:hAnsi="宋体"/>
                <w:sz w:val="18"/>
                <w:szCs w:val="18"/>
              </w:rPr>
              <w:t>1</w:t>
            </w:r>
            <w:r>
              <w:rPr>
                <w:rFonts w:hAnsi="宋体"/>
                <w:sz w:val="18"/>
                <w:szCs w:val="18"/>
              </w:rPr>
              <w:t>9</w:t>
            </w:r>
          </w:p>
        </w:tc>
        <w:tc>
          <w:tcPr>
            <w:tcW w:w="1459" w:type="dxa"/>
            <w:tcBorders>
              <w:bottom w:val="single" w:color="auto" w:sz="8" w:space="0"/>
            </w:tcBorders>
            <w:shd w:val="clear" w:color="auto" w:fill="auto"/>
            <w:vAlign w:val="center"/>
          </w:tcPr>
          <w:p w14:paraId="0BD60182">
            <w:pPr>
              <w:pStyle w:val="56"/>
              <w:spacing w:line="280" w:lineRule="exact"/>
              <w:ind w:firstLine="0" w:firstLineChars="0"/>
              <w:jc w:val="center"/>
              <w:rPr>
                <w:rFonts w:hAnsi="宋体"/>
                <w:sz w:val="18"/>
                <w:szCs w:val="18"/>
              </w:rPr>
            </w:pPr>
            <w:r>
              <w:rPr>
                <w:rFonts w:hint="eastAsia" w:hAnsi="宋体"/>
                <w:sz w:val="18"/>
                <w:szCs w:val="18"/>
              </w:rPr>
              <w:t>各类自然资源所有权人或使用权人</w:t>
            </w:r>
          </w:p>
        </w:tc>
        <w:tc>
          <w:tcPr>
            <w:tcW w:w="2073" w:type="dxa"/>
            <w:tcBorders>
              <w:bottom w:val="single" w:color="auto" w:sz="8" w:space="0"/>
            </w:tcBorders>
            <w:shd w:val="clear" w:color="auto" w:fill="auto"/>
            <w:vAlign w:val="center"/>
          </w:tcPr>
          <w:p w14:paraId="644201DA">
            <w:pPr>
              <w:pStyle w:val="56"/>
              <w:spacing w:line="280" w:lineRule="exact"/>
              <w:ind w:firstLine="0" w:firstLineChars="0"/>
              <w:jc w:val="center"/>
              <w:rPr>
                <w:rFonts w:hAnsi="宋体"/>
                <w:sz w:val="18"/>
                <w:szCs w:val="18"/>
              </w:rPr>
            </w:pPr>
            <w:r>
              <w:rPr>
                <w:rFonts w:hint="eastAsia" w:hAnsi="宋体"/>
                <w:sz w:val="18"/>
                <w:szCs w:val="18"/>
              </w:rPr>
              <w:t>各类权属证书、权属证明材料</w:t>
            </w:r>
          </w:p>
        </w:tc>
        <w:tc>
          <w:tcPr>
            <w:tcW w:w="3204" w:type="dxa"/>
            <w:tcBorders>
              <w:bottom w:val="single" w:color="auto" w:sz="8" w:space="0"/>
            </w:tcBorders>
            <w:shd w:val="clear" w:color="auto" w:fill="auto"/>
            <w:vAlign w:val="center"/>
          </w:tcPr>
          <w:p w14:paraId="0664D2AE">
            <w:pPr>
              <w:pStyle w:val="56"/>
              <w:spacing w:line="280" w:lineRule="exact"/>
              <w:ind w:firstLine="0" w:firstLineChars="0"/>
              <w:jc w:val="center"/>
              <w:rPr>
                <w:rFonts w:hAnsi="宋体"/>
                <w:sz w:val="18"/>
                <w:szCs w:val="18"/>
              </w:rPr>
            </w:pPr>
            <w:r>
              <w:rPr>
                <w:rFonts w:hint="eastAsia" w:hAnsi="宋体"/>
                <w:sz w:val="18"/>
                <w:szCs w:val="18"/>
              </w:rPr>
              <w:t>确认自然资源权属</w:t>
            </w:r>
          </w:p>
        </w:tc>
        <w:tc>
          <w:tcPr>
            <w:tcW w:w="2519" w:type="dxa"/>
            <w:tcBorders>
              <w:bottom w:val="single" w:color="auto" w:sz="8" w:space="0"/>
            </w:tcBorders>
            <w:shd w:val="clear" w:color="auto" w:fill="auto"/>
            <w:vAlign w:val="center"/>
          </w:tcPr>
          <w:p w14:paraId="221678DD">
            <w:pPr>
              <w:pStyle w:val="56"/>
              <w:spacing w:line="280" w:lineRule="exact"/>
              <w:ind w:firstLine="360"/>
              <w:jc w:val="center"/>
              <w:rPr>
                <w:rFonts w:hAnsi="宋体"/>
                <w:sz w:val="18"/>
                <w:szCs w:val="18"/>
              </w:rPr>
            </w:pPr>
          </w:p>
        </w:tc>
      </w:tr>
    </w:tbl>
    <w:p w14:paraId="18D840A5">
      <w:pPr>
        <w:pStyle w:val="56"/>
        <w:ind w:firstLine="420"/>
      </w:pPr>
      <w:r>
        <w:rPr>
          <w:rFonts w:hint="eastAsia"/>
        </w:rPr>
        <w:t>注：仅需收集与水流登记单元相关的资料。</w:t>
      </w:r>
    </w:p>
    <w:p w14:paraId="0401B689">
      <w:pPr>
        <w:pStyle w:val="198"/>
        <w:rPr>
          <w:vanish w:val="0"/>
        </w:rPr>
      </w:pPr>
    </w:p>
    <w:p w14:paraId="67748302">
      <w:pPr>
        <w:pStyle w:val="199"/>
        <w:rPr>
          <w:vanish w:val="0"/>
        </w:rPr>
      </w:pPr>
    </w:p>
    <w:p w14:paraId="16A50369">
      <w:pPr>
        <w:pStyle w:val="56"/>
        <w:ind w:firstLine="420"/>
        <w:sectPr>
          <w:pgSz w:w="11906" w:h="16838"/>
          <w:pgMar w:top="1928" w:right="1134" w:bottom="1134" w:left="1134" w:header="1418" w:footer="1134" w:gutter="284"/>
          <w:cols w:space="425" w:num="1"/>
          <w:formProt w:val="0"/>
          <w:docGrid w:type="lines" w:linePitch="312" w:charSpace="0"/>
        </w:sectPr>
      </w:pPr>
    </w:p>
    <w:p w14:paraId="4FD2D30A">
      <w:pPr>
        <w:pStyle w:val="198"/>
        <w:rPr>
          <w:vanish w:val="0"/>
        </w:rPr>
      </w:pPr>
    </w:p>
    <w:p w14:paraId="28541DC7">
      <w:pPr>
        <w:pStyle w:val="199"/>
        <w:rPr>
          <w:vanish w:val="0"/>
        </w:rPr>
      </w:pPr>
    </w:p>
    <w:p w14:paraId="3FB7EB4A">
      <w:pPr>
        <w:pStyle w:val="76"/>
        <w:spacing w:after="156"/>
      </w:pPr>
      <w:r>
        <w:br w:type="textWrapping"/>
      </w:r>
      <w:bookmarkStart w:id="261" w:name="_Toc145916791"/>
      <w:bookmarkStart w:id="262" w:name="_Toc136415256"/>
      <w:r>
        <w:rPr>
          <w:rFonts w:hint="eastAsia"/>
        </w:rPr>
        <w:t>（规范性）</w:t>
      </w:r>
      <w:r>
        <w:br w:type="textWrapping"/>
      </w:r>
      <w:r>
        <w:rPr>
          <w:rFonts w:hint="eastAsia"/>
        </w:rPr>
        <w:t>调查成果核实表</w:t>
      </w:r>
      <w:bookmarkEnd w:id="261"/>
      <w:bookmarkEnd w:id="262"/>
    </w:p>
    <w:p w14:paraId="218C7491">
      <w:pPr>
        <w:pStyle w:val="77"/>
        <w:numPr>
          <w:ilvl w:val="0"/>
          <w:numId w:val="0"/>
        </w:numPr>
        <w:spacing w:before="156" w:after="156"/>
      </w:pPr>
      <w:r>
        <w:rPr>
          <w:rFonts w:hint="eastAsia"/>
        </w:rPr>
        <w:t>表B</w:t>
      </w:r>
      <w:r>
        <w:t>.1</w:t>
      </w:r>
      <w:r>
        <w:rPr>
          <w:rFonts w:hint="eastAsia"/>
        </w:rPr>
        <w:t>调查成果核实表</w:t>
      </w:r>
    </w:p>
    <w:p w14:paraId="58F314AE">
      <w:pPr>
        <w:pStyle w:val="182"/>
        <w:ind w:right="281" w:firstLine="562"/>
        <w:jc w:val="right"/>
      </w:pPr>
      <w:r>
        <w:rPr>
          <w:rFonts w:hint="eastAsia" w:ascii="仿宋" w:hAnsi="仿宋" w:eastAsia="仿宋"/>
          <w:b/>
          <w:sz w:val="28"/>
          <w:szCs w:val="28"/>
          <w:u w:val="single"/>
        </w:rPr>
        <w:t xml:space="preserve"> </w:t>
      </w:r>
      <w:r>
        <w:rPr>
          <w:rFonts w:hint="eastAsia" w:ascii="仿宋" w:hAnsi="仿宋" w:eastAsia="仿宋"/>
          <w:b/>
          <w:sz w:val="24"/>
          <w:szCs w:val="24"/>
          <w:u w:val="single"/>
        </w:rPr>
        <w:t xml:space="preserve"> </w:t>
      </w:r>
      <w:r>
        <w:rPr>
          <w:rFonts w:hint="eastAsia"/>
          <w:u w:val="single"/>
        </w:rPr>
        <w:t xml:space="preserve">                     </w:t>
      </w:r>
      <w:r>
        <w:rPr>
          <w:rFonts w:hint="eastAsia"/>
        </w:rPr>
        <w:t>县（市、区）</w:t>
      </w:r>
    </w:p>
    <w:p w14:paraId="47A2BBB9">
      <w:pPr>
        <w:pStyle w:val="56"/>
        <w:ind w:firstLine="420"/>
      </w:pP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463"/>
        <w:gridCol w:w="6335"/>
      </w:tblGrid>
      <w:tr w14:paraId="361F86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02" w:hRule="atLeast"/>
          <w:jc w:val="center"/>
        </w:trPr>
        <w:tc>
          <w:tcPr>
            <w:tcW w:w="8798" w:type="dxa"/>
            <w:gridSpan w:val="2"/>
            <w:tcBorders>
              <w:top w:val="single" w:color="auto" w:sz="8" w:space="0"/>
              <w:bottom w:val="single" w:color="auto" w:sz="8" w:space="0"/>
            </w:tcBorders>
            <w:shd w:val="clear" w:color="auto" w:fill="auto"/>
            <w:vAlign w:val="center"/>
          </w:tcPr>
          <w:p w14:paraId="3AEA737A">
            <w:pPr>
              <w:pStyle w:val="182"/>
              <w:ind w:firstLine="0" w:firstLineChars="0"/>
              <w:jc w:val="center"/>
            </w:pPr>
            <w:r>
              <w:rPr>
                <w:rFonts w:hint="eastAsia"/>
              </w:rPr>
              <w:t>调查成果核实表</w:t>
            </w:r>
          </w:p>
        </w:tc>
      </w:tr>
      <w:tr w14:paraId="4CD53F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54" w:hRule="atLeast"/>
          <w:jc w:val="center"/>
        </w:trPr>
        <w:tc>
          <w:tcPr>
            <w:tcW w:w="2463" w:type="dxa"/>
            <w:tcBorders>
              <w:top w:val="single" w:color="auto" w:sz="8" w:space="0"/>
            </w:tcBorders>
            <w:shd w:val="clear" w:color="auto" w:fill="auto"/>
            <w:vAlign w:val="center"/>
          </w:tcPr>
          <w:p w14:paraId="0E62DEEE">
            <w:pPr>
              <w:pStyle w:val="182"/>
              <w:ind w:firstLine="0" w:firstLineChars="0"/>
              <w:jc w:val="center"/>
            </w:pPr>
            <w:r>
              <w:rPr>
                <w:rFonts w:hint="eastAsia"/>
              </w:rPr>
              <w:t>登记单元号</w:t>
            </w:r>
          </w:p>
        </w:tc>
        <w:tc>
          <w:tcPr>
            <w:tcW w:w="6335" w:type="dxa"/>
            <w:tcBorders>
              <w:top w:val="single" w:color="auto" w:sz="8" w:space="0"/>
            </w:tcBorders>
            <w:shd w:val="clear" w:color="auto" w:fill="auto"/>
            <w:vAlign w:val="center"/>
          </w:tcPr>
          <w:p w14:paraId="500AC1C0">
            <w:pPr>
              <w:pStyle w:val="182"/>
              <w:ind w:firstLine="360"/>
            </w:pPr>
          </w:p>
        </w:tc>
      </w:tr>
      <w:tr w14:paraId="2E4F96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82" w:hRule="atLeast"/>
          <w:jc w:val="center"/>
        </w:trPr>
        <w:tc>
          <w:tcPr>
            <w:tcW w:w="2463" w:type="dxa"/>
            <w:shd w:val="clear" w:color="auto" w:fill="auto"/>
            <w:vAlign w:val="center"/>
          </w:tcPr>
          <w:p w14:paraId="62154594">
            <w:pPr>
              <w:pStyle w:val="182"/>
              <w:ind w:firstLine="0" w:firstLineChars="0"/>
              <w:jc w:val="center"/>
            </w:pPr>
            <w:r>
              <w:rPr>
                <w:rFonts w:hint="eastAsia"/>
              </w:rPr>
              <w:t>登记单元名称</w:t>
            </w:r>
          </w:p>
        </w:tc>
        <w:tc>
          <w:tcPr>
            <w:tcW w:w="6335" w:type="dxa"/>
            <w:shd w:val="clear" w:color="auto" w:fill="auto"/>
            <w:vAlign w:val="center"/>
          </w:tcPr>
          <w:p w14:paraId="184A5A40">
            <w:pPr>
              <w:pStyle w:val="182"/>
              <w:ind w:firstLine="360"/>
            </w:pPr>
          </w:p>
        </w:tc>
      </w:tr>
      <w:tr w14:paraId="1A909D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979" w:hRule="atLeast"/>
          <w:jc w:val="center"/>
        </w:trPr>
        <w:tc>
          <w:tcPr>
            <w:tcW w:w="2463" w:type="dxa"/>
            <w:shd w:val="clear" w:color="auto" w:fill="auto"/>
            <w:vAlign w:val="center"/>
          </w:tcPr>
          <w:p w14:paraId="491990FD">
            <w:pPr>
              <w:pStyle w:val="182"/>
              <w:ind w:firstLine="0" w:firstLineChars="0"/>
              <w:jc w:val="center"/>
            </w:pPr>
            <w:r>
              <w:rPr>
                <w:rFonts w:hint="eastAsia"/>
              </w:rPr>
              <w:t>登记单元界线</w:t>
            </w:r>
          </w:p>
          <w:p w14:paraId="7D605DAA">
            <w:pPr>
              <w:pStyle w:val="182"/>
              <w:ind w:firstLine="0" w:firstLineChars="0"/>
              <w:jc w:val="center"/>
            </w:pPr>
            <w:r>
              <w:rPr>
                <w:rFonts w:hint="eastAsia"/>
              </w:rPr>
              <w:t>核实情况</w:t>
            </w:r>
          </w:p>
        </w:tc>
        <w:tc>
          <w:tcPr>
            <w:tcW w:w="6335" w:type="dxa"/>
            <w:shd w:val="clear" w:color="auto" w:fill="auto"/>
            <w:vAlign w:val="center"/>
          </w:tcPr>
          <w:p w14:paraId="549FE98B">
            <w:pPr>
              <w:pStyle w:val="182"/>
              <w:ind w:firstLine="360"/>
              <w:jc w:val="right"/>
            </w:pPr>
          </w:p>
          <w:p w14:paraId="04F4E9F0">
            <w:pPr>
              <w:pStyle w:val="182"/>
              <w:ind w:firstLine="360"/>
              <w:jc w:val="right"/>
            </w:pPr>
          </w:p>
          <w:p w14:paraId="45ACFB8C">
            <w:pPr>
              <w:pStyle w:val="182"/>
              <w:ind w:firstLine="360"/>
              <w:jc w:val="right"/>
            </w:pPr>
          </w:p>
          <w:p w14:paraId="5B130FEF">
            <w:pPr>
              <w:pStyle w:val="182"/>
              <w:ind w:firstLine="360"/>
              <w:jc w:val="right"/>
            </w:pPr>
          </w:p>
          <w:p w14:paraId="380304F8">
            <w:pPr>
              <w:pStyle w:val="182"/>
              <w:wordWrap w:val="0"/>
              <w:ind w:firstLine="0" w:firstLineChars="0"/>
              <w:jc w:val="right"/>
            </w:pPr>
            <w:r>
              <w:rPr>
                <w:rFonts w:hint="eastAsia"/>
              </w:rPr>
              <w:t xml:space="preserve">核实人：             核实时间： </w:t>
            </w:r>
            <w:r>
              <w:t xml:space="preserve">       </w:t>
            </w:r>
          </w:p>
        </w:tc>
      </w:tr>
      <w:tr w14:paraId="2BAFBD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120" w:hRule="atLeast"/>
          <w:jc w:val="center"/>
        </w:trPr>
        <w:tc>
          <w:tcPr>
            <w:tcW w:w="2463" w:type="dxa"/>
            <w:shd w:val="clear" w:color="auto" w:fill="auto"/>
            <w:vAlign w:val="center"/>
          </w:tcPr>
          <w:p w14:paraId="10DB6456">
            <w:pPr>
              <w:pStyle w:val="182"/>
              <w:ind w:firstLine="0" w:firstLineChars="0"/>
              <w:jc w:val="center"/>
            </w:pPr>
            <w:r>
              <w:rPr>
                <w:rFonts w:hint="eastAsia"/>
              </w:rPr>
              <w:t>登记单元内</w:t>
            </w:r>
          </w:p>
          <w:p w14:paraId="1BB023B4">
            <w:pPr>
              <w:pStyle w:val="182"/>
              <w:ind w:firstLine="0" w:firstLineChars="0"/>
              <w:jc w:val="center"/>
            </w:pPr>
            <w:r>
              <w:rPr>
                <w:rFonts w:hint="eastAsia"/>
              </w:rPr>
              <w:t>权属状况核实情况</w:t>
            </w:r>
          </w:p>
        </w:tc>
        <w:tc>
          <w:tcPr>
            <w:tcW w:w="6335" w:type="dxa"/>
            <w:shd w:val="clear" w:color="auto" w:fill="auto"/>
            <w:vAlign w:val="center"/>
          </w:tcPr>
          <w:p w14:paraId="0E52456F">
            <w:pPr>
              <w:pStyle w:val="182"/>
              <w:ind w:firstLine="360"/>
              <w:jc w:val="right"/>
            </w:pPr>
          </w:p>
          <w:p w14:paraId="6818A170">
            <w:pPr>
              <w:pStyle w:val="182"/>
              <w:ind w:firstLine="360"/>
              <w:jc w:val="right"/>
            </w:pPr>
          </w:p>
          <w:p w14:paraId="063B1ACB">
            <w:pPr>
              <w:pStyle w:val="182"/>
              <w:ind w:firstLine="360"/>
              <w:jc w:val="right"/>
            </w:pPr>
          </w:p>
          <w:p w14:paraId="7403AEA4">
            <w:pPr>
              <w:pStyle w:val="182"/>
              <w:ind w:firstLine="360"/>
              <w:jc w:val="right"/>
            </w:pPr>
          </w:p>
          <w:p w14:paraId="243C9C8E">
            <w:pPr>
              <w:pStyle w:val="182"/>
              <w:wordWrap w:val="0"/>
              <w:ind w:firstLine="0" w:firstLineChars="0"/>
              <w:jc w:val="right"/>
            </w:pPr>
            <w:r>
              <w:rPr>
                <w:rFonts w:hint="eastAsia"/>
              </w:rPr>
              <w:t xml:space="preserve">核实人：             核实时间： </w:t>
            </w:r>
            <w:r>
              <w:t xml:space="preserve">       </w:t>
            </w:r>
          </w:p>
        </w:tc>
      </w:tr>
      <w:tr w14:paraId="3547D4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98" w:hRule="atLeast"/>
          <w:jc w:val="center"/>
        </w:trPr>
        <w:tc>
          <w:tcPr>
            <w:tcW w:w="2463" w:type="dxa"/>
            <w:shd w:val="clear" w:color="auto" w:fill="auto"/>
            <w:vAlign w:val="center"/>
          </w:tcPr>
          <w:p w14:paraId="2343CFF1">
            <w:pPr>
              <w:pStyle w:val="182"/>
              <w:ind w:firstLine="0" w:firstLineChars="0"/>
              <w:jc w:val="center"/>
            </w:pPr>
            <w:r>
              <w:rPr>
                <w:rFonts w:hint="eastAsia"/>
              </w:rPr>
              <w:t>是否存在关联信息和</w:t>
            </w:r>
          </w:p>
          <w:p w14:paraId="411245D6">
            <w:pPr>
              <w:pStyle w:val="182"/>
              <w:ind w:firstLine="0" w:firstLineChars="0"/>
              <w:jc w:val="center"/>
            </w:pPr>
            <w:r>
              <w:rPr>
                <w:rFonts w:hint="eastAsia"/>
              </w:rPr>
              <w:t>管制信息错（漏）提情况</w:t>
            </w:r>
          </w:p>
        </w:tc>
        <w:tc>
          <w:tcPr>
            <w:tcW w:w="6335" w:type="dxa"/>
            <w:shd w:val="clear" w:color="auto" w:fill="auto"/>
            <w:vAlign w:val="center"/>
          </w:tcPr>
          <w:p w14:paraId="056C9167">
            <w:pPr>
              <w:pStyle w:val="182"/>
              <w:ind w:firstLine="360"/>
              <w:jc w:val="right"/>
            </w:pPr>
          </w:p>
          <w:p w14:paraId="42C4964E">
            <w:pPr>
              <w:pStyle w:val="182"/>
              <w:ind w:firstLine="360"/>
              <w:jc w:val="right"/>
            </w:pPr>
          </w:p>
          <w:p w14:paraId="6636681A">
            <w:pPr>
              <w:pStyle w:val="182"/>
              <w:ind w:firstLine="360"/>
              <w:jc w:val="right"/>
            </w:pPr>
          </w:p>
          <w:p w14:paraId="146174EA">
            <w:pPr>
              <w:pStyle w:val="182"/>
              <w:ind w:firstLine="360"/>
              <w:jc w:val="right"/>
            </w:pPr>
          </w:p>
          <w:p w14:paraId="4CF1AC6F">
            <w:pPr>
              <w:pStyle w:val="182"/>
              <w:wordWrap w:val="0"/>
              <w:ind w:firstLine="0" w:firstLineChars="0"/>
              <w:jc w:val="right"/>
            </w:pPr>
            <w:r>
              <w:rPr>
                <w:rFonts w:hint="eastAsia"/>
              </w:rPr>
              <w:t xml:space="preserve">核实人：             核实时间： </w:t>
            </w:r>
            <w:r>
              <w:t xml:space="preserve">       </w:t>
            </w:r>
          </w:p>
        </w:tc>
      </w:tr>
    </w:tbl>
    <w:p w14:paraId="2E8F4301">
      <w:pPr>
        <w:pStyle w:val="198"/>
        <w:rPr>
          <w:vanish w:val="0"/>
        </w:rPr>
      </w:pPr>
    </w:p>
    <w:bookmarkEnd w:id="258"/>
    <w:p w14:paraId="27FC54B2">
      <w:pPr>
        <w:pStyle w:val="199"/>
        <w:numPr>
          <w:ilvl w:val="0"/>
          <w:numId w:val="0"/>
        </w:numPr>
        <w:ind w:left="425"/>
        <w:jc w:val="both"/>
        <w:rPr>
          <w:vanish w:val="0"/>
        </w:rP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BDB76">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DA894">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20F80">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6D131">
    <w:pPr>
      <w:pStyle w:val="52"/>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79707">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D5433">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9556C">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F18F5">
    <w:pPr>
      <w:pStyle w:val="61"/>
    </w:pPr>
    <w:r>
      <w:fldChar w:fldCharType="begin"/>
    </w:r>
    <w:r>
      <w:instrText xml:space="preserve"> STYLEREF  标准文件_文件编号  \* MERGEFORMAT </w:instrText>
    </w:r>
    <w:r>
      <w:fldChar w:fldCharType="separate"/>
    </w:r>
    <w:r>
      <w:t>DB 43/T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C800F">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lang w:val="en-US"/>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attachedTemplate r:id="rId1"/>
  <w:documentProtection w:edit="forms" w:enforcement="1" w:cryptProviderType="rsaAES" w:cryptAlgorithmClass="hash" w:cryptAlgorithmType="typeAny" w:cryptAlgorithmSid="14" w:cryptSpinCount="100000" w:hash="4rsnK0FHVovbzxcECmbujBUKUL9dD0KYRfpiIYKi1AnePGLdCXZLmgVDUfa08YuLQKDssucMmtrw/rrPjZxY6Q==" w:salt="Tse+wwySEmKL78pC1n9ns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51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1680"/>
    <w:rsid w:val="0004249A"/>
    <w:rsid w:val="00043282"/>
    <w:rsid w:val="00044286"/>
    <w:rsid w:val="00044A87"/>
    <w:rsid w:val="00047F28"/>
    <w:rsid w:val="000503AA"/>
    <w:rsid w:val="000506A1"/>
    <w:rsid w:val="000509E5"/>
    <w:rsid w:val="000515DD"/>
    <w:rsid w:val="0005265A"/>
    <w:rsid w:val="00052F4C"/>
    <w:rsid w:val="000539DD"/>
    <w:rsid w:val="00053BD3"/>
    <w:rsid w:val="000556ED"/>
    <w:rsid w:val="00055F2F"/>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7B"/>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43A"/>
    <w:rsid w:val="000B6A0B"/>
    <w:rsid w:val="000C0F6C"/>
    <w:rsid w:val="000C11DB"/>
    <w:rsid w:val="000C1492"/>
    <w:rsid w:val="000C2FBD"/>
    <w:rsid w:val="000C4A0E"/>
    <w:rsid w:val="000C4B41"/>
    <w:rsid w:val="000C57D6"/>
    <w:rsid w:val="000C6362"/>
    <w:rsid w:val="000C7666"/>
    <w:rsid w:val="000D0A9C"/>
    <w:rsid w:val="000D1795"/>
    <w:rsid w:val="000D329A"/>
    <w:rsid w:val="000D4B9C"/>
    <w:rsid w:val="000D4EB6"/>
    <w:rsid w:val="000D5633"/>
    <w:rsid w:val="000D753B"/>
    <w:rsid w:val="000E4C9E"/>
    <w:rsid w:val="000E6FD7"/>
    <w:rsid w:val="000F06E1"/>
    <w:rsid w:val="000F0E3C"/>
    <w:rsid w:val="000F19D5"/>
    <w:rsid w:val="000F4AEA"/>
    <w:rsid w:val="000F633F"/>
    <w:rsid w:val="000F67E9"/>
    <w:rsid w:val="00104926"/>
    <w:rsid w:val="00113B1E"/>
    <w:rsid w:val="0011492B"/>
    <w:rsid w:val="0011711C"/>
    <w:rsid w:val="0012059C"/>
    <w:rsid w:val="00124E4F"/>
    <w:rsid w:val="001260B7"/>
    <w:rsid w:val="001265CB"/>
    <w:rsid w:val="00131E1B"/>
    <w:rsid w:val="001321C6"/>
    <w:rsid w:val="001325C4"/>
    <w:rsid w:val="00133010"/>
    <w:rsid w:val="001338EE"/>
    <w:rsid w:val="00133AAE"/>
    <w:rsid w:val="00135323"/>
    <w:rsid w:val="001356C4"/>
    <w:rsid w:val="0013699E"/>
    <w:rsid w:val="00137C60"/>
    <w:rsid w:val="00141114"/>
    <w:rsid w:val="00142969"/>
    <w:rsid w:val="00144225"/>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9D1"/>
    <w:rsid w:val="00166B88"/>
    <w:rsid w:val="0016770A"/>
    <w:rsid w:val="00170804"/>
    <w:rsid w:val="001708E9"/>
    <w:rsid w:val="0017340B"/>
    <w:rsid w:val="00173FB1"/>
    <w:rsid w:val="00176DFD"/>
    <w:rsid w:val="00180A36"/>
    <w:rsid w:val="00181D2F"/>
    <w:rsid w:val="00183516"/>
    <w:rsid w:val="001852C9"/>
    <w:rsid w:val="00190087"/>
    <w:rsid w:val="001913C4"/>
    <w:rsid w:val="0019348F"/>
    <w:rsid w:val="00193A07"/>
    <w:rsid w:val="00194C95"/>
    <w:rsid w:val="00195C34"/>
    <w:rsid w:val="00196EF5"/>
    <w:rsid w:val="001A1A53"/>
    <w:rsid w:val="001A234A"/>
    <w:rsid w:val="001A239E"/>
    <w:rsid w:val="001A296A"/>
    <w:rsid w:val="001A4CF3"/>
    <w:rsid w:val="001A65EE"/>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3D86"/>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7F4A"/>
    <w:rsid w:val="002204BB"/>
    <w:rsid w:val="00221B79"/>
    <w:rsid w:val="00221C6B"/>
    <w:rsid w:val="002253A1"/>
    <w:rsid w:val="00225546"/>
    <w:rsid w:val="00225CF8"/>
    <w:rsid w:val="0022794E"/>
    <w:rsid w:val="00231F33"/>
    <w:rsid w:val="00233D64"/>
    <w:rsid w:val="0023482A"/>
    <w:rsid w:val="002359CB"/>
    <w:rsid w:val="00241E25"/>
    <w:rsid w:val="00243540"/>
    <w:rsid w:val="0024497B"/>
    <w:rsid w:val="0024515B"/>
    <w:rsid w:val="00246021"/>
    <w:rsid w:val="0024666E"/>
    <w:rsid w:val="00247F52"/>
    <w:rsid w:val="00250B25"/>
    <w:rsid w:val="00250BBE"/>
    <w:rsid w:val="002515C2"/>
    <w:rsid w:val="0025194F"/>
    <w:rsid w:val="0026148A"/>
    <w:rsid w:val="00262696"/>
    <w:rsid w:val="00263ACC"/>
    <w:rsid w:val="00263D25"/>
    <w:rsid w:val="002643C3"/>
    <w:rsid w:val="00264A0C"/>
    <w:rsid w:val="00266EEB"/>
    <w:rsid w:val="002674C6"/>
    <w:rsid w:val="00267EF4"/>
    <w:rsid w:val="00270CB8"/>
    <w:rsid w:val="00272B08"/>
    <w:rsid w:val="00273B4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63A"/>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10F0"/>
    <w:rsid w:val="002F30E0"/>
    <w:rsid w:val="002F35E4"/>
    <w:rsid w:val="002F3730"/>
    <w:rsid w:val="002F38E1"/>
    <w:rsid w:val="002F7AF6"/>
    <w:rsid w:val="00300E63"/>
    <w:rsid w:val="00302F5F"/>
    <w:rsid w:val="0030441D"/>
    <w:rsid w:val="00306063"/>
    <w:rsid w:val="0031129F"/>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685E"/>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9A6"/>
    <w:rsid w:val="00384FFC"/>
    <w:rsid w:val="003872FC"/>
    <w:rsid w:val="00387ADC"/>
    <w:rsid w:val="00390020"/>
    <w:rsid w:val="003903D6"/>
    <w:rsid w:val="00390EE6"/>
    <w:rsid w:val="0039118F"/>
    <w:rsid w:val="00392AD7"/>
    <w:rsid w:val="003938AA"/>
    <w:rsid w:val="003938D9"/>
    <w:rsid w:val="00394376"/>
    <w:rsid w:val="003943FF"/>
    <w:rsid w:val="00395700"/>
    <w:rsid w:val="003974EB"/>
    <w:rsid w:val="00397CC5"/>
    <w:rsid w:val="003A1582"/>
    <w:rsid w:val="003A25EB"/>
    <w:rsid w:val="003A4077"/>
    <w:rsid w:val="003B09AD"/>
    <w:rsid w:val="003B18E6"/>
    <w:rsid w:val="003B1F18"/>
    <w:rsid w:val="003B3139"/>
    <w:rsid w:val="003B5BF0"/>
    <w:rsid w:val="003B60BF"/>
    <w:rsid w:val="003B6BE3"/>
    <w:rsid w:val="003C010C"/>
    <w:rsid w:val="003C0A6C"/>
    <w:rsid w:val="003C14F8"/>
    <w:rsid w:val="003C3CFD"/>
    <w:rsid w:val="003C5A43"/>
    <w:rsid w:val="003D0519"/>
    <w:rsid w:val="003D0FF6"/>
    <w:rsid w:val="003D262C"/>
    <w:rsid w:val="003D6D61"/>
    <w:rsid w:val="003D79C6"/>
    <w:rsid w:val="003E0601"/>
    <w:rsid w:val="003E091D"/>
    <w:rsid w:val="003E1C53"/>
    <w:rsid w:val="003E2A69"/>
    <w:rsid w:val="003E2D49"/>
    <w:rsid w:val="003E2FD4"/>
    <w:rsid w:val="003E49F6"/>
    <w:rsid w:val="003E5265"/>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1D4E"/>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582"/>
    <w:rsid w:val="004905E4"/>
    <w:rsid w:val="00490A89"/>
    <w:rsid w:val="00490AB4"/>
    <w:rsid w:val="00492F02"/>
    <w:rsid w:val="004939AE"/>
    <w:rsid w:val="004A12DF"/>
    <w:rsid w:val="004A17E6"/>
    <w:rsid w:val="004A1BA8"/>
    <w:rsid w:val="004A4B57"/>
    <w:rsid w:val="004A63FA"/>
    <w:rsid w:val="004B0272"/>
    <w:rsid w:val="004B2701"/>
    <w:rsid w:val="004B2829"/>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43E"/>
    <w:rsid w:val="004E2B06"/>
    <w:rsid w:val="004E2D9E"/>
    <w:rsid w:val="004E30C5"/>
    <w:rsid w:val="004E4AA5"/>
    <w:rsid w:val="004E4AEE"/>
    <w:rsid w:val="004E59E3"/>
    <w:rsid w:val="004E67C0"/>
    <w:rsid w:val="004E6A32"/>
    <w:rsid w:val="004F2F04"/>
    <w:rsid w:val="004F391A"/>
    <w:rsid w:val="004F3CFB"/>
    <w:rsid w:val="004F6456"/>
    <w:rsid w:val="004F696E"/>
    <w:rsid w:val="004F6C71"/>
    <w:rsid w:val="00501139"/>
    <w:rsid w:val="0050155C"/>
    <w:rsid w:val="0050363E"/>
    <w:rsid w:val="005039BC"/>
    <w:rsid w:val="005043BB"/>
    <w:rsid w:val="00504A3D"/>
    <w:rsid w:val="00505767"/>
    <w:rsid w:val="005073F0"/>
    <w:rsid w:val="00510A7B"/>
    <w:rsid w:val="00512051"/>
    <w:rsid w:val="00512F6E"/>
    <w:rsid w:val="00513038"/>
    <w:rsid w:val="00514174"/>
    <w:rsid w:val="00516088"/>
    <w:rsid w:val="00516B0B"/>
    <w:rsid w:val="005220EC"/>
    <w:rsid w:val="00523280"/>
    <w:rsid w:val="00523F95"/>
    <w:rsid w:val="00524D65"/>
    <w:rsid w:val="00525B16"/>
    <w:rsid w:val="005266DD"/>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EEC"/>
    <w:rsid w:val="00555044"/>
    <w:rsid w:val="0055525F"/>
    <w:rsid w:val="00561475"/>
    <w:rsid w:val="0056441B"/>
    <w:rsid w:val="0056487B"/>
    <w:rsid w:val="00564FB9"/>
    <w:rsid w:val="00571D1E"/>
    <w:rsid w:val="00573D9E"/>
    <w:rsid w:val="00573F85"/>
    <w:rsid w:val="005801E3"/>
    <w:rsid w:val="005804A5"/>
    <w:rsid w:val="00581802"/>
    <w:rsid w:val="005836A8"/>
    <w:rsid w:val="0058409C"/>
    <w:rsid w:val="00584262"/>
    <w:rsid w:val="00586630"/>
    <w:rsid w:val="00587ADD"/>
    <w:rsid w:val="00591E27"/>
    <w:rsid w:val="00592B32"/>
    <w:rsid w:val="00596160"/>
    <w:rsid w:val="005966E2"/>
    <w:rsid w:val="00597007"/>
    <w:rsid w:val="00597E39"/>
    <w:rsid w:val="005A0966"/>
    <w:rsid w:val="005A11B7"/>
    <w:rsid w:val="005A260B"/>
    <w:rsid w:val="005A4A1B"/>
    <w:rsid w:val="005A53B1"/>
    <w:rsid w:val="005A7830"/>
    <w:rsid w:val="005A7FCE"/>
    <w:rsid w:val="005B0F3F"/>
    <w:rsid w:val="005B2828"/>
    <w:rsid w:val="005B32FA"/>
    <w:rsid w:val="005B4903"/>
    <w:rsid w:val="005B51CE"/>
    <w:rsid w:val="005B5885"/>
    <w:rsid w:val="005B5CD7"/>
    <w:rsid w:val="005B6CF6"/>
    <w:rsid w:val="005B7422"/>
    <w:rsid w:val="005C29B8"/>
    <w:rsid w:val="005C5F21"/>
    <w:rsid w:val="005C6851"/>
    <w:rsid w:val="005C7156"/>
    <w:rsid w:val="005D0720"/>
    <w:rsid w:val="005D0C75"/>
    <w:rsid w:val="005D17D1"/>
    <w:rsid w:val="005D4171"/>
    <w:rsid w:val="005D6A95"/>
    <w:rsid w:val="005D6B2C"/>
    <w:rsid w:val="005D6D9C"/>
    <w:rsid w:val="005E2335"/>
    <w:rsid w:val="005E34CA"/>
    <w:rsid w:val="005E3C18"/>
    <w:rsid w:val="005E3DA6"/>
    <w:rsid w:val="005E6812"/>
    <w:rsid w:val="005E7881"/>
    <w:rsid w:val="005E78E0"/>
    <w:rsid w:val="005F0D9C"/>
    <w:rsid w:val="005F284E"/>
    <w:rsid w:val="005F4712"/>
    <w:rsid w:val="006015CE"/>
    <w:rsid w:val="00604784"/>
    <w:rsid w:val="0060479A"/>
    <w:rsid w:val="00606419"/>
    <w:rsid w:val="00607D29"/>
    <w:rsid w:val="00611D97"/>
    <w:rsid w:val="00612952"/>
    <w:rsid w:val="00614CC1"/>
    <w:rsid w:val="00615A9D"/>
    <w:rsid w:val="00617317"/>
    <w:rsid w:val="00617387"/>
    <w:rsid w:val="006205D6"/>
    <w:rsid w:val="006252D8"/>
    <w:rsid w:val="006259BC"/>
    <w:rsid w:val="0062636B"/>
    <w:rsid w:val="00630C67"/>
    <w:rsid w:val="00632182"/>
    <w:rsid w:val="00632AE0"/>
    <w:rsid w:val="00633C17"/>
    <w:rsid w:val="00634A3F"/>
    <w:rsid w:val="00634D9E"/>
    <w:rsid w:val="00636E3E"/>
    <w:rsid w:val="006379F7"/>
    <w:rsid w:val="00637E4D"/>
    <w:rsid w:val="00640620"/>
    <w:rsid w:val="00641A1F"/>
    <w:rsid w:val="006456E2"/>
    <w:rsid w:val="00645904"/>
    <w:rsid w:val="00651ACB"/>
    <w:rsid w:val="00651C47"/>
    <w:rsid w:val="00652AB2"/>
    <w:rsid w:val="00653FED"/>
    <w:rsid w:val="00654EC0"/>
    <w:rsid w:val="0065525B"/>
    <w:rsid w:val="00655D4F"/>
    <w:rsid w:val="00655E75"/>
    <w:rsid w:val="00656D29"/>
    <w:rsid w:val="006571FD"/>
    <w:rsid w:val="006640E5"/>
    <w:rsid w:val="006646F1"/>
    <w:rsid w:val="00664929"/>
    <w:rsid w:val="00664F62"/>
    <w:rsid w:val="006655E1"/>
    <w:rsid w:val="00672060"/>
    <w:rsid w:val="00672A42"/>
    <w:rsid w:val="00672BFD"/>
    <w:rsid w:val="006770F4"/>
    <w:rsid w:val="00677A84"/>
    <w:rsid w:val="0068026D"/>
    <w:rsid w:val="00680A27"/>
    <w:rsid w:val="006816A4"/>
    <w:rsid w:val="006819B8"/>
    <w:rsid w:val="006840A6"/>
    <w:rsid w:val="006841D0"/>
    <w:rsid w:val="006850CD"/>
    <w:rsid w:val="00685AAB"/>
    <w:rsid w:val="00695D22"/>
    <w:rsid w:val="006A0106"/>
    <w:rsid w:val="006A07AA"/>
    <w:rsid w:val="006A25E5"/>
    <w:rsid w:val="006A2B46"/>
    <w:rsid w:val="006A336D"/>
    <w:rsid w:val="006A37B9"/>
    <w:rsid w:val="006B2672"/>
    <w:rsid w:val="006B54BF"/>
    <w:rsid w:val="006B5F44"/>
    <w:rsid w:val="006B5F90"/>
    <w:rsid w:val="006B62E4"/>
    <w:rsid w:val="006C1BBA"/>
    <w:rsid w:val="006C2079"/>
    <w:rsid w:val="006C2C4E"/>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0AC2"/>
    <w:rsid w:val="00711CBA"/>
    <w:rsid w:val="00711FB5"/>
    <w:rsid w:val="00712A01"/>
    <w:rsid w:val="00712F78"/>
    <w:rsid w:val="00713CDE"/>
    <w:rsid w:val="00714F58"/>
    <w:rsid w:val="00716827"/>
    <w:rsid w:val="00720217"/>
    <w:rsid w:val="00722FBF"/>
    <w:rsid w:val="00722FC2"/>
    <w:rsid w:val="00724879"/>
    <w:rsid w:val="00724E1B"/>
    <w:rsid w:val="00725949"/>
    <w:rsid w:val="00727FA2"/>
    <w:rsid w:val="007322D9"/>
    <w:rsid w:val="00732BC0"/>
    <w:rsid w:val="00735668"/>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A42"/>
    <w:rsid w:val="00781DD2"/>
    <w:rsid w:val="00783ECF"/>
    <w:rsid w:val="0078413A"/>
    <w:rsid w:val="007858D5"/>
    <w:rsid w:val="007872FC"/>
    <w:rsid w:val="00792564"/>
    <w:rsid w:val="007959E8"/>
    <w:rsid w:val="00795E9C"/>
    <w:rsid w:val="007A0521"/>
    <w:rsid w:val="007A2DF1"/>
    <w:rsid w:val="007A2E12"/>
    <w:rsid w:val="007A3475"/>
    <w:rsid w:val="007A41C8"/>
    <w:rsid w:val="007A54CE"/>
    <w:rsid w:val="007A6FD9"/>
    <w:rsid w:val="007A7FFA"/>
    <w:rsid w:val="007B04EB"/>
    <w:rsid w:val="007B0D4F"/>
    <w:rsid w:val="007B59D2"/>
    <w:rsid w:val="007B5A3D"/>
    <w:rsid w:val="007B5B95"/>
    <w:rsid w:val="007B68EA"/>
    <w:rsid w:val="007B7453"/>
    <w:rsid w:val="007C1E8B"/>
    <w:rsid w:val="007C2D89"/>
    <w:rsid w:val="007C4593"/>
    <w:rsid w:val="007C5309"/>
    <w:rsid w:val="007C6069"/>
    <w:rsid w:val="007D035B"/>
    <w:rsid w:val="007D06C4"/>
    <w:rsid w:val="007D1352"/>
    <w:rsid w:val="007D2508"/>
    <w:rsid w:val="007D346A"/>
    <w:rsid w:val="007D5412"/>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191"/>
    <w:rsid w:val="00830621"/>
    <w:rsid w:val="008318F5"/>
    <w:rsid w:val="0083348C"/>
    <w:rsid w:val="008361E3"/>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1CDB"/>
    <w:rsid w:val="00883F93"/>
    <w:rsid w:val="00884DB3"/>
    <w:rsid w:val="00885A9D"/>
    <w:rsid w:val="008864F6"/>
    <w:rsid w:val="0089049D"/>
    <w:rsid w:val="008928C9"/>
    <w:rsid w:val="008930CB"/>
    <w:rsid w:val="008938DC"/>
    <w:rsid w:val="00893FD1"/>
    <w:rsid w:val="00894836"/>
    <w:rsid w:val="00895172"/>
    <w:rsid w:val="00895680"/>
    <w:rsid w:val="00895DBA"/>
    <w:rsid w:val="00896DFF"/>
    <w:rsid w:val="0089717D"/>
    <w:rsid w:val="0089762C"/>
    <w:rsid w:val="008A1893"/>
    <w:rsid w:val="008A3215"/>
    <w:rsid w:val="008A57E6"/>
    <w:rsid w:val="008A6F81"/>
    <w:rsid w:val="008A769A"/>
    <w:rsid w:val="008B0C9C"/>
    <w:rsid w:val="008B166D"/>
    <w:rsid w:val="008B17F4"/>
    <w:rsid w:val="008B1D48"/>
    <w:rsid w:val="008B3615"/>
    <w:rsid w:val="008B3ABD"/>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029"/>
    <w:rsid w:val="008E6A84"/>
    <w:rsid w:val="008F0CDC"/>
    <w:rsid w:val="008F17A3"/>
    <w:rsid w:val="008F1ED3"/>
    <w:rsid w:val="008F23A5"/>
    <w:rsid w:val="008F39F4"/>
    <w:rsid w:val="008F4C29"/>
    <w:rsid w:val="008F70BD"/>
    <w:rsid w:val="008F788F"/>
    <w:rsid w:val="008F7EA2"/>
    <w:rsid w:val="00902722"/>
    <w:rsid w:val="009027BC"/>
    <w:rsid w:val="009062E6"/>
    <w:rsid w:val="00911BE5"/>
    <w:rsid w:val="009139DB"/>
    <w:rsid w:val="00913CA9"/>
    <w:rsid w:val="009145AE"/>
    <w:rsid w:val="009146CE"/>
    <w:rsid w:val="00914CA7"/>
    <w:rsid w:val="00915C3E"/>
    <w:rsid w:val="009161A8"/>
    <w:rsid w:val="00924577"/>
    <w:rsid w:val="009245F5"/>
    <w:rsid w:val="009249EC"/>
    <w:rsid w:val="00926401"/>
    <w:rsid w:val="009273B3"/>
    <w:rsid w:val="009305B5"/>
    <w:rsid w:val="009429D5"/>
    <w:rsid w:val="00942BF1"/>
    <w:rsid w:val="00945180"/>
    <w:rsid w:val="00945428"/>
    <w:rsid w:val="00945631"/>
    <w:rsid w:val="0094607B"/>
    <w:rsid w:val="00953604"/>
    <w:rsid w:val="0095496B"/>
    <w:rsid w:val="009610DC"/>
    <w:rsid w:val="00961490"/>
    <w:rsid w:val="0096381A"/>
    <w:rsid w:val="00965E04"/>
    <w:rsid w:val="009669BD"/>
    <w:rsid w:val="009674AD"/>
    <w:rsid w:val="00970CDC"/>
    <w:rsid w:val="00977010"/>
    <w:rsid w:val="00977D02"/>
    <w:rsid w:val="009809BB"/>
    <w:rsid w:val="0098364B"/>
    <w:rsid w:val="009859B8"/>
    <w:rsid w:val="009911AF"/>
    <w:rsid w:val="00991875"/>
    <w:rsid w:val="00991F92"/>
    <w:rsid w:val="00992985"/>
    <w:rsid w:val="00993889"/>
    <w:rsid w:val="0099551B"/>
    <w:rsid w:val="00997BF1"/>
    <w:rsid w:val="009A089C"/>
    <w:rsid w:val="009A118E"/>
    <w:rsid w:val="009A21CD"/>
    <w:rsid w:val="009A278C"/>
    <w:rsid w:val="009A2BC2"/>
    <w:rsid w:val="009A42C1"/>
    <w:rsid w:val="009A47C3"/>
    <w:rsid w:val="009A5429"/>
    <w:rsid w:val="009A72AD"/>
    <w:rsid w:val="009B09E0"/>
    <w:rsid w:val="009B0BC5"/>
    <w:rsid w:val="009B1247"/>
    <w:rsid w:val="009B46F9"/>
    <w:rsid w:val="009B6029"/>
    <w:rsid w:val="009B6971"/>
    <w:rsid w:val="009C27F1"/>
    <w:rsid w:val="009C3152"/>
    <w:rsid w:val="009C4CFA"/>
    <w:rsid w:val="009C4F1B"/>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811"/>
    <w:rsid w:val="00A06A6B"/>
    <w:rsid w:val="00A07E47"/>
    <w:rsid w:val="00A11391"/>
    <w:rsid w:val="00A129D0"/>
    <w:rsid w:val="00A12C33"/>
    <w:rsid w:val="00A138BA"/>
    <w:rsid w:val="00A14C8E"/>
    <w:rsid w:val="00A153D9"/>
    <w:rsid w:val="00A15F09"/>
    <w:rsid w:val="00A169B6"/>
    <w:rsid w:val="00A2271D"/>
    <w:rsid w:val="00A237D5"/>
    <w:rsid w:val="00A2525B"/>
    <w:rsid w:val="00A30EFC"/>
    <w:rsid w:val="00A31984"/>
    <w:rsid w:val="00A32D73"/>
    <w:rsid w:val="00A3367B"/>
    <w:rsid w:val="00A3597D"/>
    <w:rsid w:val="00A36DD1"/>
    <w:rsid w:val="00A4006C"/>
    <w:rsid w:val="00A40091"/>
    <w:rsid w:val="00A4030F"/>
    <w:rsid w:val="00A41C79"/>
    <w:rsid w:val="00A41CB5"/>
    <w:rsid w:val="00A42C41"/>
    <w:rsid w:val="00A42CDF"/>
    <w:rsid w:val="00A4452E"/>
    <w:rsid w:val="00A4472C"/>
    <w:rsid w:val="00A44E69"/>
    <w:rsid w:val="00A4661E"/>
    <w:rsid w:val="00A50643"/>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90B"/>
    <w:rsid w:val="00A9295B"/>
    <w:rsid w:val="00A93B09"/>
    <w:rsid w:val="00A94247"/>
    <w:rsid w:val="00A952D7"/>
    <w:rsid w:val="00A963F7"/>
    <w:rsid w:val="00A96AD8"/>
    <w:rsid w:val="00AA052C"/>
    <w:rsid w:val="00AA1E45"/>
    <w:rsid w:val="00AA20E8"/>
    <w:rsid w:val="00AA4286"/>
    <w:rsid w:val="00AA456B"/>
    <w:rsid w:val="00AA57F5"/>
    <w:rsid w:val="00AA672E"/>
    <w:rsid w:val="00AA6861"/>
    <w:rsid w:val="00AA6EC9"/>
    <w:rsid w:val="00AB41D5"/>
    <w:rsid w:val="00AB6309"/>
    <w:rsid w:val="00AB699F"/>
    <w:rsid w:val="00AB6C5F"/>
    <w:rsid w:val="00AB70E6"/>
    <w:rsid w:val="00AB7129"/>
    <w:rsid w:val="00AC26CF"/>
    <w:rsid w:val="00AC27A6"/>
    <w:rsid w:val="00AC30F7"/>
    <w:rsid w:val="00AC31A8"/>
    <w:rsid w:val="00AC3A5A"/>
    <w:rsid w:val="00AC4D95"/>
    <w:rsid w:val="00AC5DF4"/>
    <w:rsid w:val="00AD0AEF"/>
    <w:rsid w:val="00AD11B7"/>
    <w:rsid w:val="00AD1A94"/>
    <w:rsid w:val="00AD1C05"/>
    <w:rsid w:val="00AD4126"/>
    <w:rsid w:val="00AD421C"/>
    <w:rsid w:val="00AD44FA"/>
    <w:rsid w:val="00AD4AC6"/>
    <w:rsid w:val="00AE070A"/>
    <w:rsid w:val="00AE101C"/>
    <w:rsid w:val="00AE37E5"/>
    <w:rsid w:val="00AE5EB4"/>
    <w:rsid w:val="00AF0C18"/>
    <w:rsid w:val="00AF47C5"/>
    <w:rsid w:val="00AF5398"/>
    <w:rsid w:val="00AF612B"/>
    <w:rsid w:val="00B01141"/>
    <w:rsid w:val="00B049AF"/>
    <w:rsid w:val="00B07242"/>
    <w:rsid w:val="00B10534"/>
    <w:rsid w:val="00B113DB"/>
    <w:rsid w:val="00B11D8A"/>
    <w:rsid w:val="00B12981"/>
    <w:rsid w:val="00B147DD"/>
    <w:rsid w:val="00B156FD"/>
    <w:rsid w:val="00B21F61"/>
    <w:rsid w:val="00B261F1"/>
    <w:rsid w:val="00B265BC"/>
    <w:rsid w:val="00B3080A"/>
    <w:rsid w:val="00B31FB1"/>
    <w:rsid w:val="00B33170"/>
    <w:rsid w:val="00B33952"/>
    <w:rsid w:val="00B33C5E"/>
    <w:rsid w:val="00B342F4"/>
    <w:rsid w:val="00B34369"/>
    <w:rsid w:val="00B34DC2"/>
    <w:rsid w:val="00B378E5"/>
    <w:rsid w:val="00B417BE"/>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062"/>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6F4A"/>
    <w:rsid w:val="00BC73D8"/>
    <w:rsid w:val="00BD52D7"/>
    <w:rsid w:val="00BD5304"/>
    <w:rsid w:val="00BD5AD2"/>
    <w:rsid w:val="00BE22F3"/>
    <w:rsid w:val="00BE5B52"/>
    <w:rsid w:val="00BE7B8D"/>
    <w:rsid w:val="00BF0993"/>
    <w:rsid w:val="00BF10A9"/>
    <w:rsid w:val="00BF1703"/>
    <w:rsid w:val="00BF231C"/>
    <w:rsid w:val="00BF51E5"/>
    <w:rsid w:val="00BF74A6"/>
    <w:rsid w:val="00C00664"/>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6897"/>
    <w:rsid w:val="00C408E4"/>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57B5"/>
    <w:rsid w:val="00C96741"/>
    <w:rsid w:val="00CA2D1B"/>
    <w:rsid w:val="00CA375D"/>
    <w:rsid w:val="00CA4203"/>
    <w:rsid w:val="00CA62C6"/>
    <w:rsid w:val="00CA662A"/>
    <w:rsid w:val="00CA7AFD"/>
    <w:rsid w:val="00CA7C3C"/>
    <w:rsid w:val="00CB0189"/>
    <w:rsid w:val="00CB0BA2"/>
    <w:rsid w:val="00CB1A42"/>
    <w:rsid w:val="00CB1B0C"/>
    <w:rsid w:val="00CB2C0B"/>
    <w:rsid w:val="00CB517D"/>
    <w:rsid w:val="00CB545F"/>
    <w:rsid w:val="00CB7C13"/>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1004"/>
    <w:rsid w:val="00CE2A83"/>
    <w:rsid w:val="00CE30EA"/>
    <w:rsid w:val="00CF048A"/>
    <w:rsid w:val="00CF155A"/>
    <w:rsid w:val="00CF2947"/>
    <w:rsid w:val="00CF686F"/>
    <w:rsid w:val="00CF6E60"/>
    <w:rsid w:val="00CF7BCA"/>
    <w:rsid w:val="00D008FD"/>
    <w:rsid w:val="00D01C0B"/>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574D"/>
    <w:rsid w:val="00D3660F"/>
    <w:rsid w:val="00D40027"/>
    <w:rsid w:val="00D4162B"/>
    <w:rsid w:val="00D4514F"/>
    <w:rsid w:val="00D451E2"/>
    <w:rsid w:val="00D45E89"/>
    <w:rsid w:val="00D45E8D"/>
    <w:rsid w:val="00D466AE"/>
    <w:rsid w:val="00D4734F"/>
    <w:rsid w:val="00D51BF3"/>
    <w:rsid w:val="00D54347"/>
    <w:rsid w:val="00D66846"/>
    <w:rsid w:val="00D675FB"/>
    <w:rsid w:val="00D71F25"/>
    <w:rsid w:val="00D72A9C"/>
    <w:rsid w:val="00D74311"/>
    <w:rsid w:val="00D77031"/>
    <w:rsid w:val="00D84941"/>
    <w:rsid w:val="00D84FA1"/>
    <w:rsid w:val="00D851F0"/>
    <w:rsid w:val="00D859B4"/>
    <w:rsid w:val="00D86CB5"/>
    <w:rsid w:val="00D86DB7"/>
    <w:rsid w:val="00D872AA"/>
    <w:rsid w:val="00D926D0"/>
    <w:rsid w:val="00D93030"/>
    <w:rsid w:val="00D950E1"/>
    <w:rsid w:val="00D952A6"/>
    <w:rsid w:val="00D97F99"/>
    <w:rsid w:val="00DA1E08"/>
    <w:rsid w:val="00DA1FED"/>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B7EDD"/>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1DEE"/>
    <w:rsid w:val="00DF44DE"/>
    <w:rsid w:val="00DF5F11"/>
    <w:rsid w:val="00E0044C"/>
    <w:rsid w:val="00E01138"/>
    <w:rsid w:val="00E02DFB"/>
    <w:rsid w:val="00E030F9"/>
    <w:rsid w:val="00E0311A"/>
    <w:rsid w:val="00E03138"/>
    <w:rsid w:val="00E06404"/>
    <w:rsid w:val="00E065D2"/>
    <w:rsid w:val="00E11A85"/>
    <w:rsid w:val="00E12495"/>
    <w:rsid w:val="00E15CCD"/>
    <w:rsid w:val="00E202EF"/>
    <w:rsid w:val="00E20866"/>
    <w:rsid w:val="00E210B5"/>
    <w:rsid w:val="00E2212D"/>
    <w:rsid w:val="00E23D99"/>
    <w:rsid w:val="00E2552F"/>
    <w:rsid w:val="00E3137A"/>
    <w:rsid w:val="00E32CCF"/>
    <w:rsid w:val="00E34A98"/>
    <w:rsid w:val="00E35D1E"/>
    <w:rsid w:val="00E35E2A"/>
    <w:rsid w:val="00E364F9"/>
    <w:rsid w:val="00E365FA"/>
    <w:rsid w:val="00E36789"/>
    <w:rsid w:val="00E37F58"/>
    <w:rsid w:val="00E44A83"/>
    <w:rsid w:val="00E502C1"/>
    <w:rsid w:val="00E502DD"/>
    <w:rsid w:val="00E50D3A"/>
    <w:rsid w:val="00E51387"/>
    <w:rsid w:val="00E51E68"/>
    <w:rsid w:val="00E52EFD"/>
    <w:rsid w:val="00E5408A"/>
    <w:rsid w:val="00E56800"/>
    <w:rsid w:val="00E56AA5"/>
    <w:rsid w:val="00E60001"/>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249F"/>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252B"/>
    <w:rsid w:val="00F25BB6"/>
    <w:rsid w:val="00F26B7E"/>
    <w:rsid w:val="00F27A3B"/>
    <w:rsid w:val="00F33817"/>
    <w:rsid w:val="00F420D5"/>
    <w:rsid w:val="00F451EA"/>
    <w:rsid w:val="00F45447"/>
    <w:rsid w:val="00F456C6"/>
    <w:rsid w:val="00F4577B"/>
    <w:rsid w:val="00F46496"/>
    <w:rsid w:val="00F474D0"/>
    <w:rsid w:val="00F50179"/>
    <w:rsid w:val="00F515EE"/>
    <w:rsid w:val="00F520B5"/>
    <w:rsid w:val="00F56511"/>
    <w:rsid w:val="00F6135F"/>
    <w:rsid w:val="00F6194E"/>
    <w:rsid w:val="00F623AC"/>
    <w:rsid w:val="00F629C2"/>
    <w:rsid w:val="00F6412A"/>
    <w:rsid w:val="00F65893"/>
    <w:rsid w:val="00F66A4A"/>
    <w:rsid w:val="00F718DD"/>
    <w:rsid w:val="00F71E22"/>
    <w:rsid w:val="00F72142"/>
    <w:rsid w:val="00F72AE7"/>
    <w:rsid w:val="00F76B95"/>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272A"/>
    <w:rsid w:val="00FB45F1"/>
    <w:rsid w:val="00FB4A72"/>
    <w:rsid w:val="00FB54E8"/>
    <w:rsid w:val="00FB7054"/>
    <w:rsid w:val="00FC0748"/>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AEF8D22"/>
    <w:rsid w:val="45181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styleId="23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2.jpeg"/><Relationship Id="rId25" Type="http://schemas.openxmlformats.org/officeDocument/2006/relationships/image" Target="media/image11.jpeg"/><Relationship Id="rId24" Type="http://schemas.openxmlformats.org/officeDocument/2006/relationships/image" Target="media/image10.jpeg"/><Relationship Id="rId23" Type="http://schemas.openxmlformats.org/officeDocument/2006/relationships/image" Target="media/image9.jpeg"/><Relationship Id="rId22" Type="http://schemas.openxmlformats.org/officeDocument/2006/relationships/image" Target="media/image8.jpeg"/><Relationship Id="rId21" Type="http://schemas.openxmlformats.org/officeDocument/2006/relationships/image" Target="media/image7.jpeg"/><Relationship Id="rId20" Type="http://schemas.openxmlformats.org/officeDocument/2006/relationships/image" Target="media/image6.jpeg"/><Relationship Id="rId2" Type="http://schemas.openxmlformats.org/officeDocument/2006/relationships/settings" Target="settings.xml"/><Relationship Id="rId19" Type="http://schemas.openxmlformats.org/officeDocument/2006/relationships/image" Target="media/image5.jpeg"/><Relationship Id="rId18" Type="http://schemas.openxmlformats.org/officeDocument/2006/relationships/image" Target="media/image4.jpeg"/><Relationship Id="rId17" Type="http://schemas.openxmlformats.org/officeDocument/2006/relationships/image" Target="media/image3.jpeg"/><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xjkp\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3865A3772E54311B79CD82E91465777"/>
        <w:style w:val=""/>
        <w:category>
          <w:name w:val="常规"/>
          <w:gallery w:val="placeholder"/>
        </w:category>
        <w:types>
          <w:type w:val="bbPlcHdr"/>
        </w:types>
        <w:behaviors>
          <w:behavior w:val="content"/>
        </w:behaviors>
        <w:description w:val=""/>
        <w:guid w:val="{C326DD26-C218-4989-BC67-A6C7C6D0F8BD}"/>
      </w:docPartPr>
      <w:docPartBody>
        <w:p w14:paraId="4CF1B5E6">
          <w:pPr>
            <w:pStyle w:val="5"/>
          </w:pPr>
          <w:r>
            <w:rPr>
              <w:rStyle w:val="4"/>
              <w:rFonts w:hint="eastAsia"/>
            </w:rPr>
            <w:t>单击或点击此处输入文字。</w:t>
          </w:r>
        </w:p>
      </w:docPartBody>
    </w:docPart>
    <w:docPart>
      <w:docPartPr>
        <w:name w:val="55A7194022AC4BCF8EAA34E9B9062AE4"/>
        <w:style w:val=""/>
        <w:category>
          <w:name w:val="常规"/>
          <w:gallery w:val="placeholder"/>
        </w:category>
        <w:types>
          <w:type w:val="bbPlcHdr"/>
        </w:types>
        <w:behaviors>
          <w:behavior w:val="content"/>
        </w:behaviors>
        <w:description w:val=""/>
        <w:guid w:val="{B62DEDC3-AA5C-4559-A773-DF29058117C6}"/>
      </w:docPartPr>
      <w:docPartBody>
        <w:p w14:paraId="0EBDD07D">
          <w:pPr>
            <w:pStyle w:val="6"/>
          </w:pPr>
          <w:r>
            <w:rPr>
              <w:rStyle w:val="4"/>
              <w:rFonts w:hint="eastAsia"/>
            </w:rPr>
            <w:t>选择一项。</w:t>
          </w:r>
        </w:p>
      </w:docPartBody>
    </w:docPart>
    <w:docPart>
      <w:docPartPr>
        <w:name w:val="CBDC8D9C3DF2426F9896FB3DB834A1DE"/>
        <w:style w:val=""/>
        <w:category>
          <w:name w:val="常规"/>
          <w:gallery w:val="placeholder"/>
        </w:category>
        <w:types>
          <w:type w:val="bbPlcHdr"/>
        </w:types>
        <w:behaviors>
          <w:behavior w:val="content"/>
        </w:behaviors>
        <w:description w:val=""/>
        <w:guid w:val="{B3C59F30-3225-4356-BACF-2506CC5A321A}"/>
      </w:docPartPr>
      <w:docPartBody>
        <w:p w14:paraId="1350D793">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8C9"/>
    <w:rsid w:val="000274FD"/>
    <w:rsid w:val="00061AF6"/>
    <w:rsid w:val="00063F57"/>
    <w:rsid w:val="00176AF7"/>
    <w:rsid w:val="001B3544"/>
    <w:rsid w:val="0020155D"/>
    <w:rsid w:val="00212341"/>
    <w:rsid w:val="002179E6"/>
    <w:rsid w:val="002A7713"/>
    <w:rsid w:val="00371D3C"/>
    <w:rsid w:val="00402263"/>
    <w:rsid w:val="00425E2F"/>
    <w:rsid w:val="00446BB5"/>
    <w:rsid w:val="004734CC"/>
    <w:rsid w:val="004B7E47"/>
    <w:rsid w:val="004D02BF"/>
    <w:rsid w:val="004D2662"/>
    <w:rsid w:val="005711E6"/>
    <w:rsid w:val="00572A52"/>
    <w:rsid w:val="006629CB"/>
    <w:rsid w:val="00672077"/>
    <w:rsid w:val="0069545F"/>
    <w:rsid w:val="006D114B"/>
    <w:rsid w:val="0072635D"/>
    <w:rsid w:val="007D102B"/>
    <w:rsid w:val="0089024E"/>
    <w:rsid w:val="008B68C9"/>
    <w:rsid w:val="008C368C"/>
    <w:rsid w:val="008D7B46"/>
    <w:rsid w:val="008E5D88"/>
    <w:rsid w:val="00952EF1"/>
    <w:rsid w:val="0096006F"/>
    <w:rsid w:val="00986ADF"/>
    <w:rsid w:val="00A33D2C"/>
    <w:rsid w:val="00AF0EBC"/>
    <w:rsid w:val="00B11C99"/>
    <w:rsid w:val="00B54F22"/>
    <w:rsid w:val="00BF3256"/>
    <w:rsid w:val="00C5485E"/>
    <w:rsid w:val="00C8492C"/>
    <w:rsid w:val="00D16BC3"/>
    <w:rsid w:val="00D704B1"/>
    <w:rsid w:val="00DE13CA"/>
    <w:rsid w:val="00DF1C24"/>
    <w:rsid w:val="00E87BF1"/>
    <w:rsid w:val="00E957A0"/>
    <w:rsid w:val="00EA7460"/>
    <w:rsid w:val="00EB6EFE"/>
    <w:rsid w:val="00EE4FAD"/>
    <w:rsid w:val="00F21B79"/>
    <w:rsid w:val="00F22C30"/>
    <w:rsid w:val="00F602D0"/>
    <w:rsid w:val="00FC2911"/>
    <w:rsid w:val="00FC4E0A"/>
    <w:rsid w:val="00FD3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3865A3772E54311B79CD82E9146577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5A7194022AC4BCF8EAA34E9B9062AE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BDC8D9C3DF2426F9896FB3DB834A1D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21</Pages>
  <Words>4204</Words>
  <Characters>4479</Characters>
  <Lines>105</Lines>
  <Paragraphs>29</Paragraphs>
  <TotalTime>184</TotalTime>
  <ScaleCrop>false</ScaleCrop>
  <LinksUpToDate>false</LinksUpToDate>
  <CharactersWithSpaces>4611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2023-09-14T17:03:00Z</dcterms:created>
  <dc:creator>HP</dc:creator>
  <dc:description>&lt;config cover="true" show_menu="true" version="1.0.0" doctype="SDKXY"&gt;_x000d_
&lt;/config&gt;</dc:description>
  <cp:lastModifiedBy>WPS_1643073644</cp:lastModifiedBy>
  <cp:lastPrinted>2023-10-25T15:40:00Z</cp:lastPrinted>
  <dcterms:modified xsi:type="dcterms:W3CDTF">2026-05-20T07:05:24Z</dcterms:modified>
  <dc:title>地方标准</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2052-12.1.0.25865</vt:lpwstr>
  </property>
  <property fmtid="{D5CDD505-2E9C-101B-9397-08002B2CF9AE}" pid="15" name="KSOTemplateDocerSaveRecord">
    <vt:lpwstr>eyJoZGlkIjoiNzRiODI2OTA0YTMwOTBjYmY3NTZkNTllNjIwN2U5ODUiLCJ1c2VySWQiOiIxMzE5NDc3NDg4In0=</vt:lpwstr>
  </property>
  <property fmtid="{D5CDD505-2E9C-101B-9397-08002B2CF9AE}" pid="16" name="ICV">
    <vt:lpwstr>B834A31C58EE40278BD64312A6286E14_12</vt:lpwstr>
  </property>
</Properties>
</file>